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E72C3">
        <w:rPr>
          <w:rFonts w:asciiTheme="minorHAnsi" w:hAnsiTheme="minorHAnsi" w:cs="Arial"/>
          <w:b/>
          <w:szCs w:val="24"/>
        </w:rPr>
        <w:t>2</w:t>
      </w:r>
      <w:r w:rsidR="00F436D9">
        <w:rPr>
          <w:rFonts w:asciiTheme="minorHAnsi" w:hAnsiTheme="minorHAnsi" w:cs="Arial"/>
          <w:b/>
          <w:szCs w:val="24"/>
        </w:rPr>
        <w:t>2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F436D9">
        <w:rPr>
          <w:rFonts w:asciiTheme="minorHAnsi" w:hAnsiTheme="minorHAnsi" w:cs="Arial"/>
          <w:b/>
          <w:szCs w:val="24"/>
        </w:rPr>
        <w:t>02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F436D9">
        <w:rPr>
          <w:rFonts w:asciiTheme="minorHAnsi" w:hAnsiTheme="minorHAnsi" w:cs="Arial"/>
          <w:b/>
          <w:szCs w:val="24"/>
        </w:rPr>
        <w:t>JANEIRO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</w:t>
      </w:r>
      <w:r w:rsidR="00F436D9" w:rsidRPr="00F436D9">
        <w:rPr>
          <w:rFonts w:asciiTheme="minorHAnsi" w:hAnsiTheme="minorHAnsi" w:cs="Arial"/>
          <w:i w:val="0"/>
          <w:iCs w:val="0"/>
          <w:caps/>
          <w:sz w:val="24"/>
          <w:szCs w:val="24"/>
        </w:rPr>
        <w:t>CRÉDITO SUPLEMENTAR NO VALOR DE R$ 3.091.603,03.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9B6B6A" w:rsidP="00F436D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</w:t>
      </w:r>
      <w:r w:rsidR="00F436D9" w:rsidRPr="00F436D9">
        <w:rPr>
          <w:rFonts w:asciiTheme="minorHAnsi" w:hAnsiTheme="minorHAnsi" w:cs="Arial"/>
          <w:sz w:val="24"/>
          <w:szCs w:val="24"/>
        </w:rPr>
        <w:t>Fica o Poder Executivo autorizado a abrir um Crédito Suplementar no valor de R$ 3.091.603,03 (Três milhões, noventa e um mil, seiscentos e três reais e três centavos) que será utilizado nas seguintes dotações orçamentárias: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0300-SEC MUNICIPAL INFRAESTRUTURA E ADMINISTRAÇÃO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2011-MANUTENÇÃO E CONSERVAÇÃO DE BENS IMÓVEIS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339030.00.00-Outros Serviços Terceiros – Pessoa Jurídica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F436D9">
        <w:rPr>
          <w:rFonts w:asciiTheme="minorHAnsi" w:hAnsiTheme="minorHAnsi" w:cs="Arial"/>
          <w:sz w:val="24"/>
          <w:szCs w:val="24"/>
        </w:rPr>
        <w:t xml:space="preserve"> 20.000,00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F436D9">
        <w:rPr>
          <w:rFonts w:asciiTheme="minorHAnsi" w:hAnsiTheme="minorHAnsi" w:cs="Arial"/>
          <w:sz w:val="24"/>
          <w:szCs w:val="24"/>
        </w:rPr>
        <w:t>20.000,00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2017-MANUTENÇÃO DO CONVÊNIO – FUNREBOM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80.751,60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F436D9">
        <w:rPr>
          <w:rFonts w:asciiTheme="minorHAnsi" w:hAnsiTheme="minorHAnsi" w:cs="Arial"/>
          <w:sz w:val="24"/>
          <w:szCs w:val="24"/>
        </w:rPr>
        <w:t>100.000,00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F436D9">
        <w:rPr>
          <w:rFonts w:asciiTheme="minorHAnsi" w:hAnsiTheme="minorHAnsi" w:cs="Arial"/>
          <w:sz w:val="24"/>
          <w:szCs w:val="24"/>
        </w:rPr>
        <w:t>100.000,00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2018 – MANUTENÇÃO DOS SERVIÇOS CORREIOS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339036.00.00 – Outros Serviços de Terceiro</w:t>
      </w:r>
      <w:r>
        <w:rPr>
          <w:rFonts w:asciiTheme="minorHAnsi" w:hAnsiTheme="minorHAnsi" w:cs="Arial"/>
          <w:sz w:val="24"/>
          <w:szCs w:val="24"/>
        </w:rPr>
        <w:t>s – Pessoa Física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</w:t>
      </w:r>
      <w:r w:rsidRPr="00F436D9">
        <w:rPr>
          <w:rFonts w:asciiTheme="minorHAnsi" w:hAnsiTheme="minorHAnsi" w:cs="Arial"/>
          <w:sz w:val="24"/>
          <w:szCs w:val="24"/>
        </w:rPr>
        <w:t>18.447,03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0500-SECRETARIA MUNICIPAL DE DEFESA CIVIL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0501-MANUTENÇÃO DA SEC DA DEFESA CIVIL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1114-RECUPERAÇÃO DE DANOS AS PONTES DO INTERIOR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1.783,68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0800 - SECRETARIA MUNICIPAL DE EDUCAÇÃO E CULTURA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0802 - MANUTENÇÃO DO ENSINO INFANTIL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2025-MANUTENÇÃO, AMPLIAÇÃO E CONSTRUÇÃO DAS ESCOLAS ENS INFANTIL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449051.00.00-Obras e instalações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F436D9">
        <w:rPr>
          <w:rFonts w:asciiTheme="minorHAnsi" w:hAnsiTheme="minorHAnsi" w:cs="Arial"/>
          <w:sz w:val="24"/>
          <w:szCs w:val="24"/>
        </w:rPr>
        <w:t>21.712,83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2034- TRANSF UNIÃO PROGR NAC ALIM PNACN-CRECHE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5.000,00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2035-TRANSF UNIÃO PROGR NAC ALIM PNPN-PRÉ ESCOLAR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5.000,00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lastRenderedPageBreak/>
        <w:t>2290-TRANSF FNDE-MANUTENÇÃO ENS INFANTIL-NOVAS TURMAS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300.000,00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F436D9">
        <w:rPr>
          <w:rFonts w:asciiTheme="minorHAnsi" w:hAnsiTheme="minorHAnsi" w:cs="Arial"/>
          <w:sz w:val="24"/>
          <w:szCs w:val="24"/>
        </w:rPr>
        <w:t>128.412,35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2292-TRANSF FNDE-MANUTENÇÃO ENS INFANTIL-BR CARINHOSO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263,77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   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0803 – MANUTENÇÃO DO ENSINO FUNDAMENTAL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2030-MANUTENÇÃO E AQUISIÇÃO TRANSPORTE ESCOLAR EDUC.FUND.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    2.038,60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1044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F436D9">
        <w:rPr>
          <w:rFonts w:asciiTheme="minorHAnsi" w:hAnsiTheme="minorHAnsi" w:cs="Arial"/>
          <w:sz w:val="24"/>
          <w:szCs w:val="24"/>
        </w:rPr>
        <w:t>10.000,78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F436D9">
        <w:rPr>
          <w:rFonts w:asciiTheme="minorHAnsi" w:hAnsiTheme="minorHAnsi" w:cs="Arial"/>
          <w:sz w:val="24"/>
          <w:szCs w:val="24"/>
        </w:rPr>
        <w:t>340.046,96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                                    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2039- TRANSF UNIÃO PROGR NAC ALIM </w:t>
      </w:r>
      <w:proofErr w:type="gramStart"/>
      <w:r w:rsidRPr="00F436D9">
        <w:rPr>
          <w:rFonts w:asciiTheme="minorHAnsi" w:hAnsiTheme="minorHAnsi" w:cs="Arial"/>
          <w:sz w:val="24"/>
          <w:szCs w:val="24"/>
        </w:rPr>
        <w:t>PNAFME  -</w:t>
      </w:r>
      <w:proofErr w:type="gramEnd"/>
      <w:r w:rsidRPr="00F436D9">
        <w:rPr>
          <w:rFonts w:asciiTheme="minorHAnsi" w:hAnsiTheme="minorHAnsi" w:cs="Arial"/>
          <w:sz w:val="24"/>
          <w:szCs w:val="24"/>
        </w:rPr>
        <w:t xml:space="preserve"> FUNDAMENTAL MAIS EDUCAÇÃO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339030.00.00 - Material de Consumo</w:t>
      </w:r>
      <w:r w:rsidRPr="00F436D9">
        <w:rPr>
          <w:rFonts w:asciiTheme="minorHAnsi" w:hAnsiTheme="minorHAnsi" w:cs="Arial"/>
          <w:sz w:val="24"/>
          <w:szCs w:val="24"/>
        </w:rPr>
        <w:tab/>
        <w:t xml:space="preserve">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</w:t>
      </w:r>
      <w:r w:rsidRPr="00F436D9">
        <w:rPr>
          <w:rFonts w:asciiTheme="minorHAnsi" w:hAnsiTheme="minorHAnsi" w:cs="Arial"/>
          <w:sz w:val="24"/>
          <w:szCs w:val="24"/>
        </w:rPr>
        <w:t>3.000,00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2040- TRANSF UNIÃO PROGR NAC ALIM PNAEE – ATENDIMENTO ESPECIALIZADO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2.519,08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2044-TRANSFERÊNCIA UNIÃO PROGRAMA PDDE                                                         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3309030.00.00-Material de Consumo                                                                                           56,28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2370-APOIO FINANCEIRO EDUCAÇÃO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46.404,15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F436D9">
        <w:rPr>
          <w:rFonts w:asciiTheme="minorHAnsi" w:hAnsiTheme="minorHAnsi" w:cs="Arial"/>
          <w:sz w:val="24"/>
          <w:szCs w:val="24"/>
        </w:rPr>
        <w:t>50.000,00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0900 – SECRETARIA MUNICIPAL DE OBRAS E SANEAMENTO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0901 – SECRETARIA DE OBRAS E ÓRGÃOS AUXILIARES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2072 – ILUMINAÇÃO PUBLICA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339030.00-Material consumo                                                                                             80.000,00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100.000,00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                       24.950,59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1000-SECRETARIA MUNICIPAL DE PLANEJAMENTO E DESENV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1601-PLANEJAMENTO DE DESENVOLVIMENTO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2108-SERVIÇOS DE TRÂNSITO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2.768,65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1100 – SECRETARIA MUNICIPAL DE SAÚDE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2059-MANUTENÇÃO ADMINISTRATIVA DA SECRETARIA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50.000,00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339093.00.00-Indenização e Restituições                                                                           10.000,00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2066-MANUTENÇÃO E AQUISIÇÃO DOS VEÍCULOS DA SECRETARIA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50.000,00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2354-MANUTENÇÃO DA FARMÁCIA BÁSICA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339032.00.00-Material, </w:t>
      </w:r>
      <w:proofErr w:type="gramStart"/>
      <w:r w:rsidRPr="00F436D9">
        <w:rPr>
          <w:rFonts w:asciiTheme="minorHAnsi" w:hAnsiTheme="minorHAnsi" w:cs="Arial"/>
          <w:sz w:val="24"/>
          <w:szCs w:val="24"/>
        </w:rPr>
        <w:t>Bem</w:t>
      </w:r>
      <w:proofErr w:type="gramEnd"/>
      <w:r w:rsidRPr="00F436D9">
        <w:rPr>
          <w:rFonts w:asciiTheme="minorHAnsi" w:hAnsiTheme="minorHAnsi" w:cs="Arial"/>
          <w:sz w:val="24"/>
          <w:szCs w:val="24"/>
        </w:rPr>
        <w:t xml:space="preserve"> ou Serviço Para </w:t>
      </w:r>
      <w:proofErr w:type="spellStart"/>
      <w:r w:rsidRPr="00F436D9">
        <w:rPr>
          <w:rFonts w:asciiTheme="minorHAnsi" w:hAnsiTheme="minorHAnsi" w:cs="Arial"/>
          <w:sz w:val="24"/>
          <w:szCs w:val="24"/>
        </w:rPr>
        <w:t>Distr</w:t>
      </w:r>
      <w:proofErr w:type="spellEnd"/>
      <w:r w:rsidRPr="00F436D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436D9">
        <w:rPr>
          <w:rFonts w:asciiTheme="minorHAnsi" w:hAnsiTheme="minorHAnsi" w:cs="Arial"/>
          <w:sz w:val="24"/>
          <w:szCs w:val="24"/>
        </w:rPr>
        <w:t>Gratuíta</w:t>
      </w:r>
      <w:proofErr w:type="spellEnd"/>
      <w:r w:rsidRPr="00F436D9">
        <w:rPr>
          <w:rFonts w:asciiTheme="minorHAnsi" w:hAnsiTheme="minorHAnsi" w:cs="Arial"/>
          <w:sz w:val="24"/>
          <w:szCs w:val="24"/>
        </w:rPr>
        <w:t xml:space="preserve">                                            12.468,03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1107–MANUTENÇÃO DA SECRETARIA COM REC VINC FEDERAL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1120-ESTRUTURAÇÃO DA REDE DE SERVIÇOS DE AT. BÁSICA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846.947,38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2314-INCREMENTO TEMPORÁRIO PAB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339030.00.00-Material de Consumo                                                                                 200.000,00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221.756,26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1108-MANUTENÇÃO DA SECRETARIA COM REC VINC ESTADUAL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2063-VIGILÂNCIA EM SAÚDE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441,52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2067-SAÚDE MENTAL (TETO MUNICIPAL SAÚDE MENTAL)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F436D9">
        <w:rPr>
          <w:rFonts w:asciiTheme="minorHAnsi" w:hAnsiTheme="minorHAnsi" w:cs="Arial"/>
          <w:sz w:val="24"/>
          <w:szCs w:val="24"/>
        </w:rPr>
        <w:t>1.031,74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2218 – PROGRAMA SOLIDARIEDADE – NOTA FISCAL GAÚCHA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404,70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1200 – SECRETARIA MUNICIPAL DE ASSISTÊNCIA SOCIAL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1201 – MANUTENÇÃO SECRETARIA DE ASSISTÊNCIA SOCIAL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2090 – MANUTENÇÃO DA CASA DE PASSAGEM NÉLIO STEIGLEIDER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 – Material</w:t>
      </w:r>
      <w:r>
        <w:rPr>
          <w:rFonts w:asciiTheme="minorHAnsi" w:hAnsiTheme="minorHAnsi" w:cs="Arial"/>
          <w:sz w:val="24"/>
          <w:szCs w:val="24"/>
        </w:rPr>
        <w:t xml:space="preserve"> de Consumo         1159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  </w:t>
      </w:r>
      <w:r w:rsidRPr="00F436D9">
        <w:rPr>
          <w:rFonts w:asciiTheme="minorHAnsi" w:hAnsiTheme="minorHAnsi" w:cs="Arial"/>
          <w:sz w:val="24"/>
          <w:szCs w:val="24"/>
        </w:rPr>
        <w:t>2.000,00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 – Outros Serviços Terceiros – Pessoa Jurídica                                                3.000,00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2.244,73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2083-SERVIÇOS DE ORIENTAÇÃO E APOIO SÓCIO FAMILIAR-FEAS EMANCIPAR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3.576,21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2250-BLOCO GESTÃO DO SUAS – BL GSUAS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837,48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2308-PROGRAMA PRIMEIRA INFÂNCIA NO SUAS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339030.00.00-Material de Consumo                                                                                  30.000,00                                                                                 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23.981,27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1203-MANUTENÇÃO DO COMDICA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2206 – MANUTENÇÃO DO CONS MUN DIR CRIANÇA E ADOLESCENTE COMDICA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339030.00.00–Material de Co</w:t>
      </w:r>
      <w:r>
        <w:rPr>
          <w:rFonts w:asciiTheme="minorHAnsi" w:hAnsiTheme="minorHAnsi" w:cs="Arial"/>
          <w:sz w:val="24"/>
          <w:szCs w:val="24"/>
        </w:rPr>
        <w:t>nsumo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</w:t>
      </w:r>
      <w:r w:rsidRPr="00F436D9">
        <w:rPr>
          <w:rFonts w:asciiTheme="minorHAnsi" w:hAnsiTheme="minorHAnsi" w:cs="Arial"/>
          <w:sz w:val="24"/>
          <w:szCs w:val="24"/>
        </w:rPr>
        <w:t>15.000,00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20.000,00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5.107,81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lastRenderedPageBreak/>
        <w:t xml:space="preserve"> 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1300 – SECRETARIA MUNICIPAL DO INTERIOR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1301 – SECRETARIA DO INTERIOR E ORGÃOS AUXILIARES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2094 – MANUTENÇÃO E CONSERVAÇÃO DO PARQUE DE MÁQUINAS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1047                                                                   5.000,00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339039.00.00-Outros Serviços Terceiros – Pessoa Jurídica      1047                              1.201,43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1400 – SEC MUN DA AGRICULTURA, PECUÁRIA E MEIO AMBIENTE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1401 – SECRETARIA DE AGRICULTURA E ÒRGÃOS AUXILIARES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1009-AQUISIÇÃO DE MÁQUINAS PESADAS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442093.00.01-Restituições de Convênios e </w:t>
      </w:r>
      <w:proofErr w:type="spellStart"/>
      <w:r w:rsidRPr="00F436D9">
        <w:rPr>
          <w:rFonts w:asciiTheme="minorHAnsi" w:hAnsiTheme="minorHAnsi" w:cs="Arial"/>
          <w:sz w:val="24"/>
          <w:szCs w:val="24"/>
        </w:rPr>
        <w:t>Transf</w:t>
      </w:r>
      <w:proofErr w:type="spellEnd"/>
      <w:r w:rsidRPr="00F436D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436D9">
        <w:rPr>
          <w:rFonts w:asciiTheme="minorHAnsi" w:hAnsiTheme="minorHAnsi" w:cs="Arial"/>
          <w:sz w:val="24"/>
          <w:szCs w:val="24"/>
        </w:rPr>
        <w:t>Rec</w:t>
      </w:r>
      <w:proofErr w:type="spellEnd"/>
      <w:r w:rsidRPr="00F436D9">
        <w:rPr>
          <w:rFonts w:asciiTheme="minorHAnsi" w:hAnsiTheme="minorHAnsi" w:cs="Arial"/>
          <w:sz w:val="24"/>
          <w:szCs w:val="24"/>
        </w:rPr>
        <w:t xml:space="preserve"> União                                        5.000,00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6.906.15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2241-PROGRAMA TROCA </w:t>
      </w:r>
      <w:proofErr w:type="spellStart"/>
      <w:r w:rsidRPr="00F436D9">
        <w:rPr>
          <w:rFonts w:asciiTheme="minorHAnsi" w:hAnsiTheme="minorHAnsi" w:cs="Arial"/>
          <w:sz w:val="24"/>
          <w:szCs w:val="24"/>
        </w:rPr>
        <w:t>TROCA</w:t>
      </w:r>
      <w:proofErr w:type="spellEnd"/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1.335,21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       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1402-COORDENADORIA DE MEIO AMBIENTE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2266-MANUTENÇÃO DO FUNDO DO MEIO AMBIENTE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20.000,00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30.000,00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11.890,73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1600-SEC.MUN ESPORTE, LAZER, CULTURA E TURISMO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1601-MANUTENÇÃO DA SEC ESPORTE, LAZER, CULTURA E TURISMO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1020-AQUISIÇÃO DE ACADEMIAS C/PATROCINIO CRM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443093.00.01-Restituição de Convênio e </w:t>
      </w:r>
      <w:proofErr w:type="spellStart"/>
      <w:r w:rsidRPr="00F436D9">
        <w:rPr>
          <w:rFonts w:asciiTheme="minorHAnsi" w:hAnsiTheme="minorHAnsi" w:cs="Arial"/>
          <w:sz w:val="24"/>
          <w:szCs w:val="24"/>
        </w:rPr>
        <w:t>Transf</w:t>
      </w:r>
      <w:proofErr w:type="spellEnd"/>
      <w:r w:rsidRPr="00F436D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436D9">
        <w:rPr>
          <w:rFonts w:asciiTheme="minorHAnsi" w:hAnsiTheme="minorHAnsi" w:cs="Arial"/>
          <w:sz w:val="24"/>
          <w:szCs w:val="24"/>
        </w:rPr>
        <w:t>Rec</w:t>
      </w:r>
      <w:proofErr w:type="spellEnd"/>
      <w:r w:rsidRPr="00F436D9">
        <w:rPr>
          <w:rFonts w:asciiTheme="minorHAnsi" w:hAnsiTheme="minorHAnsi" w:cs="Arial"/>
          <w:sz w:val="24"/>
          <w:szCs w:val="24"/>
        </w:rPr>
        <w:t xml:space="preserve"> Estado                                          8.283,66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1603-DEPARTAMENTO DE TURISMO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2080-MANUTENÇÃO DOS EVENTOS DO TURISMO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30.000,00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10.032,37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 xml:space="preserve"> </w:t>
      </w:r>
    </w:p>
    <w:p w:rsidR="00F436D9" w:rsidRPr="00F436D9" w:rsidRDefault="00F436D9" w:rsidP="00F436D9">
      <w:pPr>
        <w:jc w:val="both"/>
        <w:rPr>
          <w:rFonts w:asciiTheme="minorHAnsi" w:hAnsiTheme="minorHAnsi" w:cs="Arial"/>
          <w:sz w:val="24"/>
          <w:szCs w:val="24"/>
        </w:rPr>
      </w:pPr>
      <w:r w:rsidRPr="00F436D9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F436D9">
        <w:rPr>
          <w:rFonts w:asciiTheme="minorHAnsi" w:hAnsiTheme="minorHAnsi" w:cs="Arial"/>
          <w:sz w:val="24"/>
          <w:szCs w:val="24"/>
        </w:rPr>
        <w:t>2º Servirá como cobertura do presente Crédito Suplementar os recursos provenientes do superávit financeiro verificado nas contas bancárias do ano de 2018.</w:t>
      </w:r>
    </w:p>
    <w:p w:rsidR="00F84CA1" w:rsidRPr="00F84CA1" w:rsidRDefault="00F84CA1" w:rsidP="00F436D9">
      <w:pPr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  <w:bookmarkStart w:id="0" w:name="_GoBack"/>
      <w:bookmarkEnd w:id="0"/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1C" w:rsidRDefault="00E5521C" w:rsidP="006B02EF">
      <w:r>
        <w:separator/>
      </w:r>
    </w:p>
  </w:endnote>
  <w:endnote w:type="continuationSeparator" w:id="0">
    <w:p w:rsidR="00E5521C" w:rsidRDefault="00E5521C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436D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4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436D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4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436D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4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436D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4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1C" w:rsidRDefault="00E5521C" w:rsidP="006B02EF">
      <w:r>
        <w:separator/>
      </w:r>
    </w:p>
  </w:footnote>
  <w:footnote w:type="continuationSeparator" w:id="0">
    <w:p w:rsidR="00E5521C" w:rsidRDefault="00E5521C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5521C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36D9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B7EA-0171-4F78-BA54-B0D39E71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1629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10406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20</cp:revision>
  <cp:lastPrinted>2018-10-30T17:11:00Z</cp:lastPrinted>
  <dcterms:created xsi:type="dcterms:W3CDTF">2018-10-16T14:57:00Z</dcterms:created>
  <dcterms:modified xsi:type="dcterms:W3CDTF">2019-02-14T12:14:00Z</dcterms:modified>
</cp:coreProperties>
</file>