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E7" w:rsidRPr="006F4E5D" w:rsidRDefault="00005037" w:rsidP="00C74326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  <w:r w:rsidRPr="006F4E5D">
        <w:rPr>
          <w:rFonts w:asciiTheme="minorHAnsi" w:hAnsiTheme="minorHAnsi" w:cs="Arial"/>
          <w:b/>
          <w:szCs w:val="24"/>
        </w:rPr>
        <w:t>DECRETO</w:t>
      </w:r>
      <w:r w:rsidR="00E677E7" w:rsidRPr="006F4E5D">
        <w:rPr>
          <w:rFonts w:asciiTheme="minorHAnsi" w:hAnsiTheme="minorHAnsi" w:cs="Arial"/>
          <w:b/>
          <w:szCs w:val="24"/>
        </w:rPr>
        <w:t xml:space="preserve"> N° </w:t>
      </w:r>
      <w:r w:rsidR="005D02C1">
        <w:rPr>
          <w:rFonts w:asciiTheme="minorHAnsi" w:hAnsiTheme="minorHAnsi" w:cs="Arial"/>
          <w:b/>
          <w:szCs w:val="24"/>
        </w:rPr>
        <w:t>5.</w:t>
      </w:r>
      <w:r w:rsidR="002A44FE">
        <w:rPr>
          <w:rFonts w:asciiTheme="minorHAnsi" w:hAnsiTheme="minorHAnsi" w:cs="Arial"/>
          <w:b/>
          <w:szCs w:val="24"/>
        </w:rPr>
        <w:t>3</w:t>
      </w:r>
      <w:r w:rsidR="00A62C9F">
        <w:rPr>
          <w:rFonts w:asciiTheme="minorHAnsi" w:hAnsiTheme="minorHAnsi" w:cs="Arial"/>
          <w:b/>
          <w:szCs w:val="24"/>
        </w:rPr>
        <w:t>9</w:t>
      </w:r>
      <w:r w:rsidR="00274E81">
        <w:rPr>
          <w:rFonts w:asciiTheme="minorHAnsi" w:hAnsiTheme="minorHAnsi" w:cs="Arial"/>
          <w:b/>
          <w:szCs w:val="24"/>
        </w:rPr>
        <w:t>9</w:t>
      </w:r>
      <w:r w:rsidR="00A23CDA">
        <w:rPr>
          <w:rFonts w:asciiTheme="minorHAnsi" w:hAnsiTheme="minorHAnsi" w:cs="Arial"/>
          <w:b/>
          <w:szCs w:val="24"/>
        </w:rPr>
        <w:t>,</w:t>
      </w:r>
      <w:r w:rsidR="00E677E7" w:rsidRPr="006F4E5D">
        <w:rPr>
          <w:rFonts w:asciiTheme="minorHAnsi" w:hAnsiTheme="minorHAnsi" w:cs="Arial"/>
          <w:b/>
          <w:szCs w:val="24"/>
        </w:rPr>
        <w:t xml:space="preserve"> DE </w:t>
      </w:r>
      <w:r w:rsidR="00396286">
        <w:rPr>
          <w:rFonts w:asciiTheme="minorHAnsi" w:hAnsiTheme="minorHAnsi" w:cs="Arial"/>
          <w:b/>
          <w:szCs w:val="24"/>
        </w:rPr>
        <w:t>1</w:t>
      </w:r>
      <w:r w:rsidR="00274E81">
        <w:rPr>
          <w:rFonts w:asciiTheme="minorHAnsi" w:hAnsiTheme="minorHAnsi" w:cs="Arial"/>
          <w:b/>
          <w:szCs w:val="24"/>
        </w:rPr>
        <w:t>7</w:t>
      </w:r>
      <w:r w:rsidR="00925199">
        <w:rPr>
          <w:rFonts w:asciiTheme="minorHAnsi" w:hAnsiTheme="minorHAnsi" w:cs="Arial"/>
          <w:b/>
          <w:szCs w:val="24"/>
        </w:rPr>
        <w:t xml:space="preserve"> </w:t>
      </w:r>
      <w:r w:rsidR="002D1573">
        <w:rPr>
          <w:rFonts w:asciiTheme="minorHAnsi" w:hAnsiTheme="minorHAnsi" w:cs="Arial"/>
          <w:b/>
          <w:szCs w:val="24"/>
        </w:rPr>
        <w:t xml:space="preserve">DE </w:t>
      </w:r>
      <w:r w:rsidR="00C66E46">
        <w:rPr>
          <w:rFonts w:asciiTheme="minorHAnsi" w:hAnsiTheme="minorHAnsi" w:cs="Arial"/>
          <w:b/>
          <w:szCs w:val="24"/>
        </w:rPr>
        <w:t>JANEIRO DE 2024</w:t>
      </w:r>
    </w:p>
    <w:p w:rsidR="00E677E7" w:rsidRDefault="00E677E7" w:rsidP="00C74326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274E81" w:rsidRDefault="00274E81" w:rsidP="00274E8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274E81">
        <w:rPr>
          <w:rFonts w:asciiTheme="minorHAnsi" w:hAnsiTheme="minorHAnsi" w:cs="Arial"/>
          <w:i w:val="0"/>
          <w:iCs w:val="0"/>
          <w:caps/>
          <w:sz w:val="24"/>
          <w:szCs w:val="24"/>
        </w:rPr>
        <w:t>Regulamenta os processos de contratações diretas nos termo</w:t>
      </w:r>
      <w:r>
        <w:rPr>
          <w:rFonts w:asciiTheme="minorHAnsi" w:hAnsiTheme="minorHAnsi" w:cs="Arial"/>
          <w:i w:val="0"/>
          <w:iCs w:val="0"/>
          <w:caps/>
          <w:sz w:val="24"/>
          <w:szCs w:val="24"/>
        </w:rPr>
        <w:t>s da Lei Federal nº 14.133/2021.</w:t>
      </w:r>
    </w:p>
    <w:p w:rsidR="00274E81" w:rsidRPr="00180EDA" w:rsidRDefault="00274E81" w:rsidP="00274E8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180EDA" w:rsidRPr="00650D7C" w:rsidRDefault="00CB62F0" w:rsidP="00650D7C">
      <w:pPr>
        <w:pStyle w:val="Recuodecorpodetexto2"/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ab/>
      </w:r>
      <w:r w:rsidRPr="006F4E5D">
        <w:rPr>
          <w:rFonts w:asciiTheme="minorHAnsi" w:hAnsiTheme="minorHAnsi" w:cs="Arial"/>
          <w:i w:val="0"/>
          <w:sz w:val="24"/>
          <w:szCs w:val="24"/>
        </w:rPr>
        <w:t>O Prefeito Municipal de São Jerônimo,</w:t>
      </w:r>
      <w:r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8A0F16">
        <w:rPr>
          <w:rFonts w:asciiTheme="minorHAnsi" w:hAnsiTheme="minorHAnsi" w:cs="Arial"/>
          <w:i w:val="0"/>
          <w:sz w:val="24"/>
          <w:szCs w:val="24"/>
        </w:rPr>
        <w:t xml:space="preserve">em exercício, </w:t>
      </w:r>
      <w:r w:rsidRPr="006F4E5D">
        <w:rPr>
          <w:rFonts w:asciiTheme="minorHAnsi" w:hAnsiTheme="minorHAnsi" w:cs="Arial"/>
          <w:i w:val="0"/>
          <w:sz w:val="24"/>
          <w:szCs w:val="24"/>
        </w:rPr>
        <w:t>no uso de suas atribuições legais conferidas pelo Art. 73, VIII da Lei Orgânica</w:t>
      </w:r>
      <w:r w:rsidR="003039FF">
        <w:rPr>
          <w:rFonts w:asciiTheme="minorHAnsi" w:hAnsiTheme="minorHAnsi" w:cs="Arial"/>
          <w:i w:val="0"/>
          <w:sz w:val="24"/>
          <w:szCs w:val="24"/>
        </w:rPr>
        <w:t>,</w:t>
      </w:r>
      <w:r w:rsidR="00587A7B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274E81">
        <w:rPr>
          <w:rFonts w:asciiTheme="minorHAnsi" w:hAnsiTheme="minorHAnsi" w:cs="Arial"/>
          <w:i w:val="0"/>
          <w:sz w:val="24"/>
          <w:szCs w:val="24"/>
        </w:rPr>
        <w:t>e considerado a lei federal 14.133/2021,</w:t>
      </w:r>
    </w:p>
    <w:p w:rsidR="00CA0213" w:rsidRDefault="00CA0213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CB62F0" w:rsidRDefault="00CB62F0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6F4E5D">
        <w:rPr>
          <w:rFonts w:asciiTheme="minorHAnsi" w:hAnsiTheme="minorHAnsi" w:cs="Arial"/>
          <w:b/>
          <w:i w:val="0"/>
          <w:sz w:val="24"/>
          <w:szCs w:val="24"/>
        </w:rPr>
        <w:t>D E C R E T A</w:t>
      </w:r>
    </w:p>
    <w:p w:rsidR="00274E81" w:rsidRDefault="00274E81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274E81">
        <w:rPr>
          <w:rFonts w:asciiTheme="minorHAnsi" w:hAnsiTheme="minorHAnsi" w:cs="Arial"/>
          <w:b/>
          <w:iCs/>
          <w:sz w:val="24"/>
          <w:szCs w:val="24"/>
        </w:rPr>
        <w:t>TÍTULO I - DISPOSIÇÕES GERAIS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1º As Contratações Diretas serão precedidas de Documento de Formalização de Demandas e Estudo Técnico Preliminar.</w:t>
      </w: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2º O processo de contratação direta, que compreende os casos de inexigibilidade e de dispensa de licitação, além dos documentos previstos no art. 72 da Lei Federal nº 14.133, de 2021, deverá ser instruído com, no mínimo, os seguintes elementos: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 - </w:t>
      </w:r>
      <w:r>
        <w:rPr>
          <w:rFonts w:asciiTheme="minorHAnsi" w:hAnsiTheme="minorHAnsi" w:cs="Arial"/>
          <w:iCs/>
          <w:sz w:val="24"/>
          <w:szCs w:val="24"/>
        </w:rPr>
        <w:t>D</w:t>
      </w:r>
      <w:r w:rsidRPr="00274E81">
        <w:rPr>
          <w:rFonts w:asciiTheme="minorHAnsi" w:hAnsiTheme="minorHAnsi" w:cs="Arial"/>
          <w:iCs/>
          <w:sz w:val="24"/>
          <w:szCs w:val="24"/>
        </w:rPr>
        <w:t>ocumento de formalização de demanda, estudo técnico preliminar e termo de referência, e se for o caso, análise de riscos, projeto básico ou projeto executivo;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II - </w:t>
      </w:r>
      <w:r>
        <w:rPr>
          <w:rFonts w:asciiTheme="minorHAnsi" w:hAnsiTheme="minorHAnsi" w:cs="Arial"/>
          <w:iCs/>
          <w:sz w:val="24"/>
          <w:szCs w:val="24"/>
        </w:rPr>
        <w:t>E</w:t>
      </w:r>
      <w:r w:rsidRPr="00274E81">
        <w:rPr>
          <w:rFonts w:asciiTheme="minorHAnsi" w:hAnsiTheme="minorHAnsi" w:cs="Arial"/>
          <w:iCs/>
          <w:sz w:val="24"/>
          <w:szCs w:val="24"/>
        </w:rPr>
        <w:t>stimativa de despesa, nos termos do decreto municipal nº 5.256, de 25 de maio de 2022;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III - </w:t>
      </w:r>
      <w:r>
        <w:rPr>
          <w:rFonts w:asciiTheme="minorHAnsi" w:hAnsiTheme="minorHAnsi" w:cs="Arial"/>
          <w:iCs/>
          <w:sz w:val="24"/>
          <w:szCs w:val="24"/>
        </w:rPr>
        <w:t>P</w:t>
      </w:r>
      <w:r w:rsidRPr="00274E81">
        <w:rPr>
          <w:rFonts w:asciiTheme="minorHAnsi" w:hAnsiTheme="minorHAnsi" w:cs="Arial"/>
          <w:iCs/>
          <w:sz w:val="24"/>
          <w:szCs w:val="24"/>
        </w:rPr>
        <w:t>arecer jurídico e pareceres técnicos, se for o caso, que demonstrem o atendimento dos requisitos exigidos;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IV - D</w:t>
      </w:r>
      <w:r w:rsidRPr="00274E81">
        <w:rPr>
          <w:rFonts w:asciiTheme="minorHAnsi" w:hAnsiTheme="minorHAnsi" w:cs="Arial"/>
          <w:iCs/>
          <w:sz w:val="24"/>
          <w:szCs w:val="24"/>
        </w:rPr>
        <w:t>emonstração da compatibilidade da previsão de recursos orçamentários com o compromisso a ser assumido;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V - C</w:t>
      </w:r>
      <w:r w:rsidRPr="00274E81">
        <w:rPr>
          <w:rFonts w:asciiTheme="minorHAnsi" w:hAnsiTheme="minorHAnsi" w:cs="Arial"/>
          <w:iCs/>
          <w:sz w:val="24"/>
          <w:szCs w:val="24"/>
        </w:rPr>
        <w:t>omprovação de que o contratado preenche os requisitos de habilitação e qualificação mínima necessária;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VI - </w:t>
      </w:r>
      <w:r>
        <w:rPr>
          <w:rFonts w:asciiTheme="minorHAnsi" w:hAnsiTheme="minorHAnsi" w:cs="Arial"/>
          <w:iCs/>
          <w:sz w:val="24"/>
          <w:szCs w:val="24"/>
        </w:rPr>
        <w:t>R</w:t>
      </w:r>
      <w:r w:rsidRPr="00274E81">
        <w:rPr>
          <w:rFonts w:asciiTheme="minorHAnsi" w:hAnsiTheme="minorHAnsi" w:cs="Arial"/>
          <w:iCs/>
          <w:sz w:val="24"/>
          <w:szCs w:val="24"/>
        </w:rPr>
        <w:t>azão de escolha do contratado;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VII - J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ustificativa de preço, se for o caso; 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VIII - </w:t>
      </w:r>
      <w:r>
        <w:rPr>
          <w:rFonts w:asciiTheme="minorHAnsi" w:hAnsiTheme="minorHAnsi" w:cs="Arial"/>
          <w:iCs/>
          <w:sz w:val="24"/>
          <w:szCs w:val="24"/>
        </w:rPr>
        <w:t>A</w:t>
      </w:r>
      <w:r w:rsidRPr="00274E81">
        <w:rPr>
          <w:rFonts w:asciiTheme="minorHAnsi" w:hAnsiTheme="minorHAnsi" w:cs="Arial"/>
          <w:iCs/>
          <w:sz w:val="24"/>
          <w:szCs w:val="24"/>
        </w:rPr>
        <w:t>utorização da auto</w:t>
      </w:r>
      <w:r>
        <w:rPr>
          <w:rFonts w:asciiTheme="minorHAnsi" w:hAnsiTheme="minorHAnsi" w:cs="Arial"/>
          <w:iCs/>
          <w:sz w:val="24"/>
          <w:szCs w:val="24"/>
        </w:rPr>
        <w:t>ridade competente;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IX - </w:t>
      </w:r>
      <w:r>
        <w:rPr>
          <w:rFonts w:asciiTheme="minorHAnsi" w:hAnsiTheme="minorHAnsi" w:cs="Arial"/>
          <w:iCs/>
          <w:sz w:val="24"/>
          <w:szCs w:val="24"/>
        </w:rPr>
        <w:t>I</w:t>
      </w:r>
      <w:r w:rsidRPr="00274E81">
        <w:rPr>
          <w:rFonts w:asciiTheme="minorHAnsi" w:hAnsiTheme="minorHAnsi" w:cs="Arial"/>
          <w:iCs/>
          <w:sz w:val="24"/>
          <w:szCs w:val="24"/>
        </w:rPr>
        <w:t>ndicação do dispositivo legal aplicável;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X - </w:t>
      </w:r>
      <w:r>
        <w:rPr>
          <w:rFonts w:asciiTheme="minorHAnsi" w:hAnsiTheme="minorHAnsi" w:cs="Arial"/>
          <w:iCs/>
          <w:sz w:val="24"/>
          <w:szCs w:val="24"/>
        </w:rPr>
        <w:t>R</w:t>
      </w:r>
      <w:r w:rsidRPr="00274E81">
        <w:rPr>
          <w:rFonts w:asciiTheme="minorHAnsi" w:hAnsiTheme="minorHAnsi" w:cs="Arial"/>
          <w:iCs/>
          <w:sz w:val="24"/>
          <w:szCs w:val="24"/>
        </w:rPr>
        <w:t>azão da inviabilidade da realização do processo licitatório;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XI – </w:t>
      </w:r>
      <w:r>
        <w:rPr>
          <w:rFonts w:asciiTheme="minorHAnsi" w:hAnsiTheme="minorHAnsi" w:cs="Arial"/>
          <w:iCs/>
          <w:sz w:val="24"/>
          <w:szCs w:val="24"/>
        </w:rPr>
        <w:t>E</w:t>
      </w:r>
      <w:r w:rsidRPr="00274E81">
        <w:rPr>
          <w:rFonts w:asciiTheme="minorHAnsi" w:hAnsiTheme="minorHAnsi" w:cs="Arial"/>
          <w:iCs/>
          <w:sz w:val="24"/>
          <w:szCs w:val="24"/>
        </w:rPr>
        <w:t>nquadramento da natureza do objeto, quando se objetiva a dispensa de licitação na forma dos incisos I e II do Art. 75 da lei 14.133/21, nomeada, dispensa de licitação em razão do valor.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XII – Quando se objetiva a dispensa de licitação prevista no inciso VIII do Art. 75 da lei 14.133/21, nomeada, dispensa de licitação em razão da emergência, deverá constar no Estudo Técnico Preliminar de forma clara as seguintes informações: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Quais prejuízos ou quais serviços públicos serão descontinuados ou qual risco à segurança de pessoas, obras, serviços, equipamentos e outros bens, públicos ou particulares, podem ocorrer caso não seja atendida a emergência.</w:t>
      </w:r>
    </w:p>
    <w:p w:rsidR="00274E81" w:rsidRPr="00274E81" w:rsidRDefault="00274E81" w:rsidP="00274E81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Qual o atendimento necessário da situação emergencial ou calamitosa para sua resolução ou estagnação.</w:t>
      </w:r>
    </w:p>
    <w:p w:rsidR="00274E81" w:rsidRPr="00274E81" w:rsidRDefault="00274E81" w:rsidP="00274E81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Data de ocorrência da emergência ou da calamidade.</w:t>
      </w:r>
    </w:p>
    <w:p w:rsidR="00274E81" w:rsidRPr="00274E81" w:rsidRDefault="00274E81" w:rsidP="00274E81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Indicação dos agentes públicos que possivelmente deram causa à situação de emergência.</w:t>
      </w:r>
    </w:p>
    <w:p w:rsidR="00274E81" w:rsidRPr="00274E81" w:rsidRDefault="00274E81" w:rsidP="00274E81">
      <w:pPr>
        <w:pStyle w:val="PargrafodaLista"/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XIII - </w:t>
      </w:r>
      <w:r>
        <w:rPr>
          <w:rFonts w:asciiTheme="minorHAnsi" w:hAnsiTheme="minorHAnsi" w:cs="Arial"/>
          <w:iCs/>
          <w:sz w:val="24"/>
          <w:szCs w:val="24"/>
        </w:rPr>
        <w:t>C</w:t>
      </w:r>
      <w:r w:rsidRPr="00274E81">
        <w:rPr>
          <w:rFonts w:asciiTheme="minorHAnsi" w:hAnsiTheme="minorHAnsi" w:cs="Arial"/>
          <w:iCs/>
          <w:sz w:val="24"/>
          <w:szCs w:val="24"/>
        </w:rPr>
        <w:t>onsulta prévia da relação das empresas suspensas ou impedidas de licitar ou contratar com a Administração Pública através dos portais CEIS e CNEP;</w:t>
      </w: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XIV - </w:t>
      </w:r>
      <w:r>
        <w:rPr>
          <w:rFonts w:asciiTheme="minorHAnsi" w:hAnsiTheme="minorHAnsi" w:cs="Arial"/>
          <w:iCs/>
          <w:sz w:val="24"/>
          <w:szCs w:val="24"/>
        </w:rPr>
        <w:t>N</w:t>
      </w:r>
      <w:r w:rsidRPr="00274E81">
        <w:rPr>
          <w:rFonts w:asciiTheme="minorHAnsi" w:hAnsiTheme="minorHAnsi" w:cs="Arial"/>
          <w:iCs/>
          <w:sz w:val="24"/>
          <w:szCs w:val="24"/>
        </w:rPr>
        <w:t>o que couber, decla</w:t>
      </w:r>
      <w:r>
        <w:rPr>
          <w:rFonts w:asciiTheme="minorHAnsi" w:hAnsiTheme="minorHAnsi" w:cs="Arial"/>
          <w:iCs/>
          <w:sz w:val="24"/>
          <w:szCs w:val="24"/>
        </w:rPr>
        <w:t xml:space="preserve">rações exigidas na Lei Federal </w:t>
      </w:r>
      <w:r w:rsidRPr="00274E81">
        <w:rPr>
          <w:rFonts w:asciiTheme="minorHAnsi" w:hAnsiTheme="minorHAnsi" w:cs="Arial"/>
          <w:iCs/>
          <w:sz w:val="24"/>
          <w:szCs w:val="24"/>
        </w:rPr>
        <w:t>14.133, de 2021, neste Regulamento ou em regulamentos específicos editados</w:t>
      </w:r>
      <w:r w:rsidR="005101E0">
        <w:rPr>
          <w:rFonts w:asciiTheme="minorHAnsi" w:hAnsiTheme="minorHAnsi" w:cs="Arial"/>
          <w:iCs/>
          <w:sz w:val="24"/>
          <w:szCs w:val="24"/>
        </w:rPr>
        <w:t xml:space="preserve"> pelo Município de São Jerônimo.</w:t>
      </w:r>
    </w:p>
    <w:p w:rsidR="005101E0" w:rsidRPr="00274E81" w:rsidRDefault="005101E0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§1º Na hipótese de registro de preços, de que dispõe o inciso IV do art. 14º somente será exigida a previsão de recursos orçamentários, nos termos do inciso IV do caput, quando da formalização do contrato ou de outro instrumento hábil.</w:t>
      </w:r>
    </w:p>
    <w:p w:rsidR="00577E8D" w:rsidRPr="00274E81" w:rsidRDefault="00577E8D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§2º O ato que autoriza a contratação direta deverá ser divulgado e mantido à disposição do público em sítio eletrônico oficial do órgão ou entidade promotora do procedimento.</w:t>
      </w:r>
    </w:p>
    <w:p w:rsidR="00577E8D" w:rsidRPr="00274E81" w:rsidRDefault="00577E8D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§3º A instrução do procedimento poderá ser realizada por meio de sistema eletrônico, de modo que os atos e os documentos de que trata este artigo, constantes dos arquivos e registros digitais, serão válidos para todos os efeitos legais.</w:t>
      </w:r>
    </w:p>
    <w:p w:rsidR="00577E8D" w:rsidRPr="00274E81" w:rsidRDefault="00577E8D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3. É competente para autorizar a inexigibilidade e a dispensa de licitação a Autoridade Máxima do município, na pessoa do Prefeito, admitida a delegação.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lastRenderedPageBreak/>
        <w:t>Parágrafo único: Aplica-se o disposto no art. 71 da Lei Federal 14.133, de 2021, no que couber, aos processos de contratação direta.</w:t>
      </w:r>
    </w:p>
    <w:p w:rsidR="00577E8D" w:rsidRPr="00274E81" w:rsidRDefault="00577E8D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4º As hipóteses de inexigibilidade previstas no artigo 74 da Lei Federal 14.133, de 2021, são exemplificativas, sendo inexigível a licitação em todos os casos em que for inviável a competição.</w:t>
      </w:r>
    </w:p>
    <w:p w:rsidR="00577E8D" w:rsidRPr="00274E81" w:rsidRDefault="00577E8D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5º Compete ao agente público responsável pelo processo de contratação direta, no caso de inexigibilidade de licitação, a adoção de providências que assegurem a veracidade do documento de exclusividade apresentado pela futura contratada, nos termos do §1º do art. 74 da Lei Federal 14.133, de 2021.</w:t>
      </w:r>
    </w:p>
    <w:p w:rsidR="00577E8D" w:rsidRPr="00274E81" w:rsidRDefault="00577E8D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6º Excepcionalmente, poderão ser adquiridos bens de marcas específicas ou contratados serviços com prestador específico para cumprimento de ordem judicial, quando a decisão indique a marca ou o prestador a ser contratado pela Administração, bem como decorrentes de procedimentos de padronização.</w:t>
      </w:r>
    </w:p>
    <w:p w:rsidR="008A0F16" w:rsidRPr="00274E81" w:rsidRDefault="008A0F1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7º Para fins de aferição dos valores que atendam aos limites referidos nos incisos I e II do Art. 75 da Lei 14.133/2021, deverão ser observados:</w:t>
      </w:r>
    </w:p>
    <w:p w:rsidR="008A0F16" w:rsidRPr="00274E81" w:rsidRDefault="008A0F1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 - </w:t>
      </w:r>
      <w:r w:rsidR="008A0F16">
        <w:rPr>
          <w:rFonts w:asciiTheme="minorHAnsi" w:hAnsiTheme="minorHAnsi" w:cs="Arial"/>
          <w:iCs/>
          <w:sz w:val="24"/>
          <w:szCs w:val="24"/>
        </w:rPr>
        <w:t>O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somatório despendido no exercício financeiro pela respectiva unidade gestora; e</w:t>
      </w:r>
    </w:p>
    <w:p w:rsidR="008A0F16" w:rsidRPr="00274E81" w:rsidRDefault="008A0F1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II - </w:t>
      </w:r>
      <w:r w:rsidR="008A0F16">
        <w:rPr>
          <w:rFonts w:asciiTheme="minorHAnsi" w:hAnsiTheme="minorHAnsi" w:cs="Arial"/>
          <w:iCs/>
          <w:sz w:val="24"/>
          <w:szCs w:val="24"/>
        </w:rPr>
        <w:t>O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somatório da despesa realizada com objetos de mesma natureza, entendidos como tais aqueles relativos a contratações no mesmo ramo de atividade.</w:t>
      </w:r>
    </w:p>
    <w:p w:rsidR="008A0F16" w:rsidRPr="00274E81" w:rsidRDefault="008A0F1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</w:t>
      </w:r>
      <w:r w:rsidR="003A64B2">
        <w:rPr>
          <w:rFonts w:asciiTheme="minorHAnsi" w:hAnsiTheme="minorHAnsi" w:cs="Arial"/>
          <w:iCs/>
          <w:sz w:val="24"/>
          <w:szCs w:val="24"/>
        </w:rPr>
        <w:t>1</w:t>
      </w:r>
      <w:r w:rsidRPr="00274E81">
        <w:rPr>
          <w:rFonts w:asciiTheme="minorHAnsi" w:hAnsiTheme="minorHAnsi" w:cs="Arial"/>
          <w:iCs/>
          <w:sz w:val="24"/>
          <w:szCs w:val="24"/>
        </w:rPr>
        <w:t>º Considera-se Ramo de Atividade a linha de fornecimento adotada pelo Governo Federal respectivamente:</w:t>
      </w:r>
    </w:p>
    <w:p w:rsidR="008A0F16" w:rsidRPr="00274E81" w:rsidRDefault="008A0F1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8A0F1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I - À</w:t>
      </w:r>
      <w:r w:rsidR="00274E81" w:rsidRPr="00274E81">
        <w:rPr>
          <w:rFonts w:asciiTheme="minorHAnsi" w:hAnsiTheme="minorHAnsi" w:cs="Arial"/>
          <w:iCs/>
          <w:sz w:val="24"/>
          <w:szCs w:val="24"/>
        </w:rPr>
        <w:t xml:space="preserve"> classe de materiais, utilizando o Padrão Descritivo de Materiais (PDM) do Sistema de Catalogação de Material do Governo federal; ou</w:t>
      </w:r>
    </w:p>
    <w:p w:rsidR="008A0F16" w:rsidRPr="00274E81" w:rsidRDefault="008A0F1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II - </w:t>
      </w:r>
      <w:r w:rsidR="008A0F16">
        <w:rPr>
          <w:rFonts w:asciiTheme="minorHAnsi" w:hAnsiTheme="minorHAnsi" w:cs="Arial"/>
          <w:iCs/>
          <w:sz w:val="24"/>
          <w:szCs w:val="24"/>
        </w:rPr>
        <w:t>À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descrição dos serviços ou das obras, constante do Sistema de Catalogação de Serviços o</w:t>
      </w:r>
      <w:r w:rsidR="00B903E5">
        <w:rPr>
          <w:rFonts w:asciiTheme="minorHAnsi" w:hAnsiTheme="minorHAnsi" w:cs="Arial"/>
          <w:iCs/>
          <w:sz w:val="24"/>
          <w:szCs w:val="24"/>
        </w:rPr>
        <w:t>u de Obras do Governo federal.</w:t>
      </w:r>
    </w:p>
    <w:p w:rsidR="008A0F16" w:rsidRPr="00274E81" w:rsidRDefault="008A0F1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§2º O disposto no § 1º deste artigo não se aplica às contratações de serviços de manutenção de veículos automotores de propriedade do órgão ou entidade contratante, incluído o fornecimento de peças, de que trata o § 7º do art. 75 da Lei nº 14.133, de 2021, respeitado seus limites de valores.</w:t>
      </w:r>
    </w:p>
    <w:p w:rsidR="008A0F16" w:rsidRPr="00274E81" w:rsidRDefault="008A0F1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§3º Quando do enquadramento de bens, serviços ou obras nos termos das hipóteses previstas neste artigo, a autoridade competente pela autorização e a autoridade </w:t>
      </w:r>
      <w:r w:rsidRPr="00274E81">
        <w:rPr>
          <w:rFonts w:asciiTheme="minorHAnsi" w:hAnsiTheme="minorHAnsi" w:cs="Arial"/>
          <w:iCs/>
          <w:sz w:val="24"/>
          <w:szCs w:val="24"/>
        </w:rPr>
        <w:lastRenderedPageBreak/>
        <w:t>superior responsável pela adjudicação e pela homologação da contratação devem observar o disposto no art. 73 da Lei nº 14.133, de 2021, e no art. 337-E do Decreto-Lei nº 2.848, de 7 de dezembro de 1940.</w:t>
      </w:r>
    </w:p>
    <w:p w:rsidR="003A64B2" w:rsidRPr="00274E81" w:rsidRDefault="003A64B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3A64B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Divulgação</w:t>
      </w:r>
    </w:p>
    <w:p w:rsidR="003A64B2" w:rsidRPr="00274E81" w:rsidRDefault="003A64B2" w:rsidP="003A64B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8º O procedimento será divulgado no Portal Nacional de Contratações Públicas – PNCP, no sítio oficial do município e no Diário Oficial do Município.</w:t>
      </w:r>
    </w:p>
    <w:p w:rsidR="003A64B2" w:rsidRPr="00274E81" w:rsidRDefault="003A64B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9. No caso de contratações para entrega imediata, considerada aquela com prazo de entrega de até 30 (trinta) dias da ordem de fornecimento, e nas contratações com valores inferiores a 1/4 (um quarto) do limite para dispensa de licitação para compras em geral e nas contratações de produto para pesquisa e desenvolvimento de que trata a alínea “c” do inciso IV do art. 75 da Lei nº14.133, de 2021, somente será exigida das pessoas jurídicas a comprovação da regularidade fiscal federal, social e trabalhista e, das pessoas físicas, a quitação com a Fazenda Federal, bem como, as declarações presentes no Art. 16 deste decreto.</w:t>
      </w:r>
    </w:p>
    <w:p w:rsidR="003A64B2" w:rsidRPr="00274E81" w:rsidRDefault="003A64B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10. Constatado o atendimento às exigências estabelecidas no art. 25, o fornecedor será habilitado.</w:t>
      </w:r>
    </w:p>
    <w:p w:rsidR="003A64B2" w:rsidRPr="00274E81" w:rsidRDefault="003A64B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Parágrafo único. Na hipótese de o fornecedor não atender às exigências para a habilitação, o órgão ou entidade examinará a proposta subsequente e assim sucessivamente, na ordem de classificação, até a apuração de uma proposta que atenda às especificações do objeto e as condições de habilitação.</w:t>
      </w:r>
    </w:p>
    <w:p w:rsidR="003A64B2" w:rsidRPr="00274E81" w:rsidRDefault="003A64B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3A64B2" w:rsidRDefault="00274E81" w:rsidP="003A64B2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3A64B2">
        <w:rPr>
          <w:rFonts w:asciiTheme="minorHAnsi" w:hAnsiTheme="minorHAnsi" w:cs="Arial"/>
          <w:b/>
          <w:iCs/>
          <w:sz w:val="24"/>
          <w:szCs w:val="24"/>
        </w:rPr>
        <w:t>TÍTULO II - DISPENSA ELETRÔNICA</w:t>
      </w:r>
    </w:p>
    <w:p w:rsidR="003A64B2" w:rsidRDefault="003A64B2" w:rsidP="003A64B2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</w:p>
    <w:p w:rsidR="00274E81" w:rsidRPr="003A64B2" w:rsidRDefault="00274E81" w:rsidP="003A64B2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3A64B2">
        <w:rPr>
          <w:rFonts w:asciiTheme="minorHAnsi" w:hAnsiTheme="minorHAnsi" w:cs="Arial"/>
          <w:b/>
          <w:iCs/>
          <w:sz w:val="24"/>
          <w:szCs w:val="24"/>
        </w:rPr>
        <w:t>CAPÍTULO I</w:t>
      </w:r>
    </w:p>
    <w:p w:rsidR="00274E81" w:rsidRDefault="00274E81" w:rsidP="003A64B2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3A64B2">
        <w:rPr>
          <w:rFonts w:asciiTheme="minorHAnsi" w:hAnsiTheme="minorHAnsi" w:cs="Arial"/>
          <w:b/>
          <w:iCs/>
          <w:sz w:val="24"/>
          <w:szCs w:val="24"/>
        </w:rPr>
        <w:t>DISPOSIÇÕES PRELIMINARES</w:t>
      </w:r>
    </w:p>
    <w:p w:rsidR="003A64B2" w:rsidRPr="003A64B2" w:rsidRDefault="003A64B2" w:rsidP="003A64B2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</w:p>
    <w:p w:rsidR="00274E81" w:rsidRDefault="00274E81" w:rsidP="003A64B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Objeto e âmbito de aplicação</w:t>
      </w:r>
    </w:p>
    <w:p w:rsidR="003A64B2" w:rsidRPr="00274E81" w:rsidRDefault="003A64B2" w:rsidP="003A64B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11</w:t>
      </w:r>
      <w:r w:rsidR="0057758C">
        <w:rPr>
          <w:rFonts w:asciiTheme="minorHAnsi" w:hAnsiTheme="minorHAnsi" w:cs="Arial"/>
          <w:iCs/>
          <w:sz w:val="24"/>
          <w:szCs w:val="24"/>
        </w:rPr>
        <w:t>.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Este </w:t>
      </w:r>
      <w:r w:rsidR="0057758C">
        <w:rPr>
          <w:rFonts w:asciiTheme="minorHAnsi" w:hAnsiTheme="minorHAnsi" w:cs="Arial"/>
          <w:iCs/>
          <w:sz w:val="24"/>
          <w:szCs w:val="24"/>
        </w:rPr>
        <w:t>Título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dispõe sobre a dispensa de licitação, na forma eletrônica, de que trata a Lei nº 14.133, de 1º de abril de 2021, e institui o Sistema de Dispensa Eletrônica, no âmbito do Município de São Jerônimo. </w:t>
      </w:r>
    </w:p>
    <w:p w:rsidR="0057758C" w:rsidRPr="00274E81" w:rsidRDefault="0057758C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12</w:t>
      </w:r>
      <w:r w:rsidR="0057758C">
        <w:rPr>
          <w:rFonts w:asciiTheme="minorHAnsi" w:hAnsiTheme="minorHAnsi" w:cs="Arial"/>
          <w:iCs/>
          <w:sz w:val="24"/>
          <w:szCs w:val="24"/>
        </w:rPr>
        <w:t>.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Os órgãos e entidades da Administração Pública Municipal, quando executarem recursos da União decorrentes de transferências voluntárias, deverão observar as regras da instrução normativa SEGES/ME nº 67, de 8 de julho de 2021, ou outra que a venha substituir.</w:t>
      </w:r>
    </w:p>
    <w:p w:rsidR="0057758C" w:rsidRDefault="0057758C" w:rsidP="0057758C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57758C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Sistema de Dispensa Eletrônica</w:t>
      </w:r>
    </w:p>
    <w:p w:rsidR="0057758C" w:rsidRPr="00274E81" w:rsidRDefault="0057758C" w:rsidP="0057758C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13</w:t>
      </w:r>
      <w:r w:rsidR="0057758C">
        <w:rPr>
          <w:rFonts w:asciiTheme="minorHAnsi" w:hAnsiTheme="minorHAnsi" w:cs="Arial"/>
          <w:iCs/>
          <w:sz w:val="24"/>
          <w:szCs w:val="24"/>
        </w:rPr>
        <w:t>.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O Sistema de Dispensa Eletrônica constitui ferramenta informatizada para a realização dos procedimentos de contratação direta de obras, bens e serviços, incluídos os serviços de engenharia.</w:t>
      </w:r>
    </w:p>
    <w:p w:rsidR="009B0047" w:rsidRPr="00274E81" w:rsidRDefault="009B0047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9B0047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Parágrafo único. </w:t>
      </w:r>
      <w:r w:rsidR="00274E81" w:rsidRPr="00274E81">
        <w:rPr>
          <w:rFonts w:asciiTheme="minorHAnsi" w:hAnsiTheme="minorHAnsi" w:cs="Arial"/>
          <w:iCs/>
          <w:sz w:val="24"/>
          <w:szCs w:val="24"/>
        </w:rPr>
        <w:t>Em caso de adoção de ferramenta disponibilizada pelo governo federal ou estadual, deverão ser observadas as normativas e instruções cabíveis ao sistema.</w:t>
      </w:r>
    </w:p>
    <w:p w:rsidR="009B0047" w:rsidRDefault="009B0047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9B0047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Hipóteses de uso</w:t>
      </w:r>
    </w:p>
    <w:p w:rsidR="009B0047" w:rsidRPr="00274E81" w:rsidRDefault="009B0047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14</w:t>
      </w:r>
      <w:r w:rsidR="00B75873">
        <w:rPr>
          <w:rFonts w:asciiTheme="minorHAnsi" w:hAnsiTheme="minorHAnsi" w:cs="Arial"/>
          <w:iCs/>
          <w:sz w:val="24"/>
          <w:szCs w:val="24"/>
        </w:rPr>
        <w:t>.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Os órgãos e entidades poderão adotar a dispensa de licitação na forma eletrônica, ressalvada a obrigatoriedade do art. 12, nas seguintes hipóteses:</w:t>
      </w:r>
    </w:p>
    <w:p w:rsidR="00B75873" w:rsidRPr="00274E81" w:rsidRDefault="00B7587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 - </w:t>
      </w:r>
      <w:r w:rsidR="00B75873">
        <w:rPr>
          <w:rFonts w:asciiTheme="minorHAnsi" w:hAnsiTheme="minorHAnsi" w:cs="Arial"/>
          <w:iCs/>
          <w:sz w:val="24"/>
          <w:szCs w:val="24"/>
        </w:rPr>
        <w:t>C</w:t>
      </w:r>
      <w:r w:rsidRPr="00274E81">
        <w:rPr>
          <w:rFonts w:asciiTheme="minorHAnsi" w:hAnsiTheme="minorHAnsi" w:cs="Arial"/>
          <w:iCs/>
          <w:sz w:val="24"/>
          <w:szCs w:val="24"/>
        </w:rPr>
        <w:t>ontratação de obras e serviços de engenharia ou de serviços de manutenção de veículos automotores, no limite do disposto no inciso I do caput do art. 75 da Lei nº 14.133, de 2021;</w:t>
      </w:r>
    </w:p>
    <w:p w:rsidR="00B75873" w:rsidRPr="00274E81" w:rsidRDefault="00B7587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II - </w:t>
      </w:r>
      <w:r w:rsidR="00B75873">
        <w:rPr>
          <w:rFonts w:asciiTheme="minorHAnsi" w:hAnsiTheme="minorHAnsi" w:cs="Arial"/>
          <w:iCs/>
          <w:sz w:val="24"/>
          <w:szCs w:val="24"/>
        </w:rPr>
        <w:t>C</w:t>
      </w:r>
      <w:r w:rsidRPr="00274E81">
        <w:rPr>
          <w:rFonts w:asciiTheme="minorHAnsi" w:hAnsiTheme="minorHAnsi" w:cs="Arial"/>
          <w:iCs/>
          <w:sz w:val="24"/>
          <w:szCs w:val="24"/>
        </w:rPr>
        <w:t>ontratação de bens e serviços, no limite do disposto no inciso II do caput do art. 75 da Lei nº 14.133, de 2021;</w:t>
      </w:r>
    </w:p>
    <w:p w:rsidR="00B75873" w:rsidRPr="00274E81" w:rsidRDefault="00B7587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III - </w:t>
      </w:r>
      <w:r w:rsidR="00B75873">
        <w:rPr>
          <w:rFonts w:asciiTheme="minorHAnsi" w:hAnsiTheme="minorHAnsi" w:cs="Arial"/>
          <w:iCs/>
          <w:sz w:val="24"/>
          <w:szCs w:val="24"/>
        </w:rPr>
        <w:t>C</w:t>
      </w:r>
      <w:r w:rsidRPr="00274E81">
        <w:rPr>
          <w:rFonts w:asciiTheme="minorHAnsi" w:hAnsiTheme="minorHAnsi" w:cs="Arial"/>
          <w:iCs/>
          <w:sz w:val="24"/>
          <w:szCs w:val="24"/>
        </w:rPr>
        <w:t>ontratação de obras, bens e serviços, incluídos os serviços de engenharia, nos termos do disposto no inciso III e seguintes do caput do art. 75 da Lei nº 14.133, de 2021, quando cabível; e</w:t>
      </w:r>
    </w:p>
    <w:p w:rsidR="00B75873" w:rsidRPr="00274E81" w:rsidRDefault="00B7587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IV - </w:t>
      </w:r>
      <w:r w:rsidR="00B75873">
        <w:rPr>
          <w:rFonts w:asciiTheme="minorHAnsi" w:hAnsiTheme="minorHAnsi" w:cs="Arial"/>
          <w:iCs/>
          <w:sz w:val="24"/>
          <w:szCs w:val="24"/>
        </w:rPr>
        <w:t>R</w:t>
      </w:r>
      <w:r w:rsidRPr="00274E81">
        <w:rPr>
          <w:rFonts w:asciiTheme="minorHAnsi" w:hAnsiTheme="minorHAnsi" w:cs="Arial"/>
          <w:iCs/>
          <w:sz w:val="24"/>
          <w:szCs w:val="24"/>
        </w:rPr>
        <w:t>egistro de preços para a contratação de bens e serviços por mais de um órgão ou entidade, nos termos do § 6º do art. 82 da Lei nº 14.133, de 2021.</w:t>
      </w:r>
    </w:p>
    <w:p w:rsidR="00B75873" w:rsidRPr="00B75873" w:rsidRDefault="00B75873" w:rsidP="00274E81">
      <w:pPr>
        <w:spacing w:line="276" w:lineRule="auto"/>
        <w:jc w:val="both"/>
        <w:rPr>
          <w:rFonts w:asciiTheme="minorHAnsi" w:hAnsiTheme="minorHAnsi" w:cs="Arial"/>
          <w:b/>
          <w:iCs/>
          <w:sz w:val="24"/>
          <w:szCs w:val="24"/>
        </w:rPr>
      </w:pPr>
    </w:p>
    <w:p w:rsidR="00274E81" w:rsidRPr="00B75873" w:rsidRDefault="00274E81" w:rsidP="00B75873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B75873">
        <w:rPr>
          <w:rFonts w:asciiTheme="minorHAnsi" w:hAnsiTheme="minorHAnsi" w:cs="Arial"/>
          <w:b/>
          <w:iCs/>
          <w:sz w:val="24"/>
          <w:szCs w:val="24"/>
        </w:rPr>
        <w:t>CAPÍTULO II</w:t>
      </w:r>
    </w:p>
    <w:p w:rsidR="00274E81" w:rsidRDefault="00274E81" w:rsidP="00B75873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B75873">
        <w:rPr>
          <w:rFonts w:asciiTheme="minorHAnsi" w:hAnsiTheme="minorHAnsi" w:cs="Arial"/>
          <w:b/>
          <w:iCs/>
          <w:sz w:val="24"/>
          <w:szCs w:val="24"/>
        </w:rPr>
        <w:t>DO PROCEDIMENTO</w:t>
      </w:r>
    </w:p>
    <w:p w:rsidR="00B75873" w:rsidRPr="00B75873" w:rsidRDefault="00B75873" w:rsidP="00B75873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</w:p>
    <w:p w:rsidR="00274E81" w:rsidRDefault="00274E81" w:rsidP="00B75873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Órgão ou entidade promotora do procedimento</w:t>
      </w:r>
    </w:p>
    <w:p w:rsidR="00B75873" w:rsidRPr="00274E81" w:rsidRDefault="00B75873" w:rsidP="00B75873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15</w:t>
      </w:r>
      <w:r w:rsidR="00B75873">
        <w:rPr>
          <w:rFonts w:asciiTheme="minorHAnsi" w:hAnsiTheme="minorHAnsi" w:cs="Arial"/>
          <w:iCs/>
          <w:sz w:val="24"/>
          <w:szCs w:val="24"/>
        </w:rPr>
        <w:t>.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O órgão ou entidade deverá inserir no sistema as seguintes informações para a realização do procedimento de contratação: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 - </w:t>
      </w:r>
      <w:r w:rsidR="000A2576">
        <w:rPr>
          <w:rFonts w:asciiTheme="minorHAnsi" w:hAnsiTheme="minorHAnsi" w:cs="Arial"/>
          <w:iCs/>
          <w:sz w:val="24"/>
          <w:szCs w:val="24"/>
        </w:rPr>
        <w:t>A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especificação do objeto a ser adquirido ou contratado;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II -</w:t>
      </w:r>
      <w:r w:rsidR="000A2576">
        <w:rPr>
          <w:rFonts w:asciiTheme="minorHAnsi" w:hAnsiTheme="minorHAnsi" w:cs="Arial"/>
          <w:iCs/>
          <w:sz w:val="24"/>
          <w:szCs w:val="24"/>
        </w:rPr>
        <w:t xml:space="preserve"> A</w:t>
      </w:r>
      <w:r w:rsidRPr="00274E81">
        <w:rPr>
          <w:rFonts w:asciiTheme="minorHAnsi" w:hAnsiTheme="minorHAnsi" w:cs="Arial"/>
          <w:iCs/>
          <w:sz w:val="24"/>
          <w:szCs w:val="24"/>
        </w:rPr>
        <w:t>s quantidades e o preço</w:t>
      </w:r>
      <w:r w:rsidR="00363E1E">
        <w:rPr>
          <w:rFonts w:asciiTheme="minorHAnsi" w:hAnsiTheme="minorHAnsi" w:cs="Arial"/>
          <w:iCs/>
          <w:sz w:val="24"/>
          <w:szCs w:val="24"/>
        </w:rPr>
        <w:t>s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estimado</w:t>
      </w:r>
      <w:r w:rsidR="00363E1E">
        <w:rPr>
          <w:rFonts w:asciiTheme="minorHAnsi" w:hAnsiTheme="minorHAnsi" w:cs="Arial"/>
          <w:iCs/>
          <w:sz w:val="24"/>
          <w:szCs w:val="24"/>
        </w:rPr>
        <w:t>s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de cada item, nos termos do disposto no inciso II do art. 2º, observada a respectiva unidade de fornecimento;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lastRenderedPageBreak/>
        <w:t xml:space="preserve">III - </w:t>
      </w:r>
      <w:r w:rsidR="000A2576">
        <w:rPr>
          <w:rFonts w:asciiTheme="minorHAnsi" w:hAnsiTheme="minorHAnsi" w:cs="Arial"/>
          <w:iCs/>
          <w:sz w:val="24"/>
          <w:szCs w:val="24"/>
        </w:rPr>
        <w:t>O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local e o prazo de entrega do bem, prestação do serviço ou realização da obra;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IV - </w:t>
      </w:r>
      <w:r w:rsidR="000A2576">
        <w:rPr>
          <w:rFonts w:asciiTheme="minorHAnsi" w:hAnsiTheme="minorHAnsi" w:cs="Arial"/>
          <w:iCs/>
          <w:sz w:val="24"/>
          <w:szCs w:val="24"/>
        </w:rPr>
        <w:t>O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intervalo mínimo de diferença de valores ou de percentuais entre os lances, que incidirá tanto em relação aos lances intermediários quanto em relação ao lance que cobrir a melhor oferta;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V - A </w:t>
      </w:r>
      <w:r w:rsidR="00274E81" w:rsidRPr="00274E81">
        <w:rPr>
          <w:rFonts w:asciiTheme="minorHAnsi" w:hAnsiTheme="minorHAnsi" w:cs="Arial"/>
          <w:iCs/>
          <w:sz w:val="24"/>
          <w:szCs w:val="24"/>
        </w:rPr>
        <w:t>observância das disposições previstas na Lei Complementar nº 123, de 14 de dezembro de 2006.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VI - </w:t>
      </w:r>
      <w:r w:rsidR="000A2576">
        <w:rPr>
          <w:rFonts w:asciiTheme="minorHAnsi" w:hAnsiTheme="minorHAnsi" w:cs="Arial"/>
          <w:iCs/>
          <w:sz w:val="24"/>
          <w:szCs w:val="24"/>
        </w:rPr>
        <w:t>A</w:t>
      </w:r>
      <w:r w:rsidRPr="00274E81">
        <w:rPr>
          <w:rFonts w:asciiTheme="minorHAnsi" w:hAnsiTheme="minorHAnsi" w:cs="Arial"/>
          <w:iCs/>
          <w:sz w:val="24"/>
          <w:szCs w:val="24"/>
        </w:rPr>
        <w:t>s condições da contratação e as sanções motivadas pela inexecução total ou parcial do ajuste;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VII - A</w:t>
      </w:r>
      <w:r w:rsidR="00274E81" w:rsidRPr="00274E81">
        <w:rPr>
          <w:rFonts w:asciiTheme="minorHAnsi" w:hAnsiTheme="minorHAnsi" w:cs="Arial"/>
          <w:iCs/>
          <w:sz w:val="24"/>
          <w:szCs w:val="24"/>
        </w:rPr>
        <w:t xml:space="preserve"> data e o horário de sua realização, respeitado o horário comercial, e o endereço eletrônico onde ocorrerá o procedimento.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Parágrafo único. Em todas as hipóteses estabelecidas no art. 14, o prazo fixado para abertura do procedimento e envio de lances, de que trata o Capítulo III</w:t>
      </w:r>
      <w:r w:rsidR="000A2576">
        <w:rPr>
          <w:rFonts w:asciiTheme="minorHAnsi" w:hAnsiTheme="minorHAnsi" w:cs="Arial"/>
          <w:iCs/>
          <w:sz w:val="24"/>
          <w:szCs w:val="24"/>
        </w:rPr>
        <w:t xml:space="preserve"> do Título II</w:t>
      </w:r>
      <w:r w:rsidRPr="00274E81">
        <w:rPr>
          <w:rFonts w:asciiTheme="minorHAnsi" w:hAnsiTheme="minorHAnsi" w:cs="Arial"/>
          <w:iCs/>
          <w:sz w:val="24"/>
          <w:szCs w:val="24"/>
        </w:rPr>
        <w:t>, não será inferior a 3 (três) dias úteis, contados da data de divulgação do aviso de contratação direta.</w:t>
      </w:r>
    </w:p>
    <w:p w:rsidR="000A2576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0A2576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Fornecedor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16</w:t>
      </w:r>
      <w:r w:rsidR="000A2576">
        <w:rPr>
          <w:rFonts w:asciiTheme="minorHAnsi" w:hAnsiTheme="minorHAnsi" w:cs="Arial"/>
          <w:iCs/>
          <w:sz w:val="24"/>
          <w:szCs w:val="24"/>
        </w:rPr>
        <w:t>.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O fornecedor interessado, após a divulgação do aviso de contratação direta, encaminhará, exclusivamente por meio do Sistema de Dispensa Eletrônica, a proposta com a descrição do objeto ofertado, a marca do produto, quando for o caso, e o preço, até a data e o horário estabelecidos para abertura do procedimento, devendo, ainda, declarar, em campo próprio do sistema, as seguintes informações: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 - </w:t>
      </w:r>
      <w:r w:rsidR="000A2576">
        <w:rPr>
          <w:rFonts w:asciiTheme="minorHAnsi" w:hAnsiTheme="minorHAnsi" w:cs="Arial"/>
          <w:iCs/>
          <w:sz w:val="24"/>
          <w:szCs w:val="24"/>
        </w:rPr>
        <w:t>A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inexistência de fato impeditivo para licitar ou contratar com a Administração Pública;</w:t>
      </w: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II - </w:t>
      </w:r>
      <w:r w:rsidR="000A2576">
        <w:rPr>
          <w:rFonts w:asciiTheme="minorHAnsi" w:hAnsiTheme="minorHAnsi" w:cs="Arial"/>
          <w:iCs/>
          <w:sz w:val="24"/>
          <w:szCs w:val="24"/>
        </w:rPr>
        <w:t>O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enquadramento na condição de microempresa e empresa de pequeno porte, nos termos da Lei Complementar nº 123, de 2006, quando couber;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III - O</w:t>
      </w:r>
      <w:r w:rsidR="00274E81" w:rsidRPr="00274E81">
        <w:rPr>
          <w:rFonts w:asciiTheme="minorHAnsi" w:hAnsiTheme="minorHAnsi" w:cs="Arial"/>
          <w:iCs/>
          <w:sz w:val="24"/>
          <w:szCs w:val="24"/>
        </w:rPr>
        <w:t xml:space="preserve"> pleno conhecimento e aceitação das regras e das condições gerais da contratação, constantes do procedimento;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IV - </w:t>
      </w:r>
      <w:r w:rsidR="000A2576">
        <w:rPr>
          <w:rFonts w:asciiTheme="minorHAnsi" w:hAnsiTheme="minorHAnsi" w:cs="Arial"/>
          <w:iCs/>
          <w:sz w:val="24"/>
          <w:szCs w:val="24"/>
        </w:rPr>
        <w:t>A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responsabilidade pelas transações que forem efetuadas no sistema, assumindo como firmes e verdadeiras;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lastRenderedPageBreak/>
        <w:t xml:space="preserve">V - </w:t>
      </w:r>
      <w:r w:rsidR="000A2576">
        <w:rPr>
          <w:rFonts w:asciiTheme="minorHAnsi" w:hAnsiTheme="minorHAnsi" w:cs="Arial"/>
          <w:iCs/>
          <w:sz w:val="24"/>
          <w:szCs w:val="24"/>
        </w:rPr>
        <w:t>A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cumprimento das exigências de reserva de cargos para pessoa com deficiência e para reabilitado da Previdência Social, de que trata o art. 93 da Lei nº 8.213, de 24 de julho de 1991, se couber; e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VI - </w:t>
      </w:r>
      <w:r w:rsidR="000A2576">
        <w:rPr>
          <w:rFonts w:asciiTheme="minorHAnsi" w:hAnsiTheme="minorHAnsi" w:cs="Arial"/>
          <w:iCs/>
          <w:sz w:val="24"/>
          <w:szCs w:val="24"/>
        </w:rPr>
        <w:t>O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cumprimento do disposto no inciso VI do art. 68 da Lei nº 14.133, de 2021.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17. Caberá ao fornecedor acompanhar as operações no sistema, ficando responsável pelo ônus decorrente da perda do negócio diante da inobservância de quaisquer mensagens emitidas pelo sistema ou de sua desconexão.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0A2576" w:rsidRDefault="00274E81" w:rsidP="000A2576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0A2576">
        <w:rPr>
          <w:rFonts w:asciiTheme="minorHAnsi" w:hAnsiTheme="minorHAnsi" w:cs="Arial"/>
          <w:b/>
          <w:iCs/>
          <w:sz w:val="24"/>
          <w:szCs w:val="24"/>
        </w:rPr>
        <w:t>CAPÍTULO III</w:t>
      </w:r>
    </w:p>
    <w:p w:rsidR="00274E81" w:rsidRPr="000A2576" w:rsidRDefault="00274E81" w:rsidP="000A2576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0A2576">
        <w:rPr>
          <w:rFonts w:asciiTheme="minorHAnsi" w:hAnsiTheme="minorHAnsi" w:cs="Arial"/>
          <w:b/>
          <w:iCs/>
          <w:sz w:val="24"/>
          <w:szCs w:val="24"/>
        </w:rPr>
        <w:t>DA ABERTURA DO PROCEDIMENTO E DO ENVIO DE LANCES</w:t>
      </w:r>
    </w:p>
    <w:p w:rsidR="000A2576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0A2576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Abertura</w:t>
      </w:r>
    </w:p>
    <w:p w:rsidR="000A2576" w:rsidRPr="00274E81" w:rsidRDefault="000A2576" w:rsidP="000A2576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18. A partir da data e horário estabelecidos, o procedimento será automaticamente aberto pelo sistema para o envio de lances públicos e sucessivos por período nunca inferior a 6 (seis) horas ou superior a 10 (dez) horas, exclusivamente por meio do sistema eletrônico.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Parágrafo único. Imediatamente após o término do prazo estabelecido no caput, o procedimento será encerrado e o sistema ordenará e divulgará os lances em ordem crescente de classificação. </w:t>
      </w:r>
    </w:p>
    <w:p w:rsidR="000A2576" w:rsidRPr="00274E81" w:rsidRDefault="000A2576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0A2576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Envio de lances</w:t>
      </w:r>
    </w:p>
    <w:p w:rsidR="000A2576" w:rsidRPr="00274E81" w:rsidRDefault="000A2576" w:rsidP="000A2576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19. O fornecedor somente poderá oferecer valor inferior ou maior percentual de desconto em relação ao último lance por ele ofertado e registrado pelo sistema, observado o intervalo mínimo de diferença de valores ou de percentuais entre os lances, que incidirá tanto em relação aos lances intermediários quanto em relação ao lance que cobrir a melhor oferta.</w:t>
      </w:r>
    </w:p>
    <w:p w:rsidR="00B15953" w:rsidRPr="00274E81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§1º Havendo lances iguais ao menor já ofertado, prevalecerá aquele que for recebido e registrado primeiro no sistema.</w:t>
      </w:r>
    </w:p>
    <w:p w:rsidR="00B15953" w:rsidRPr="00274E81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§2º O fornecedor poderá oferecer lances sucessivos, desde que inferior ao último por ele ofertado e registrado pelo sistema.</w:t>
      </w:r>
    </w:p>
    <w:p w:rsidR="00B15953" w:rsidRPr="00274E81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20. Durante o procedimento, os fornecedores serão informados, em tempo real, do valor do menor lance registrado, vedada a identificação do fornecedor.</w:t>
      </w:r>
    </w:p>
    <w:p w:rsidR="00B15953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B15953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B15953" w:rsidRDefault="00274E81" w:rsidP="00B15953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B15953">
        <w:rPr>
          <w:rFonts w:asciiTheme="minorHAnsi" w:hAnsiTheme="minorHAnsi" w:cs="Arial"/>
          <w:b/>
          <w:iCs/>
          <w:sz w:val="24"/>
          <w:szCs w:val="24"/>
        </w:rPr>
        <w:t>CAPÍTULO IV</w:t>
      </w:r>
    </w:p>
    <w:p w:rsidR="00274E81" w:rsidRPr="00B15953" w:rsidRDefault="00274E81" w:rsidP="00B15953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B15953">
        <w:rPr>
          <w:rFonts w:asciiTheme="minorHAnsi" w:hAnsiTheme="minorHAnsi" w:cs="Arial"/>
          <w:b/>
          <w:iCs/>
          <w:sz w:val="24"/>
          <w:szCs w:val="24"/>
        </w:rPr>
        <w:t>DO JULGAMENTO E DA HABILITAÇÃO</w:t>
      </w:r>
    </w:p>
    <w:p w:rsidR="00B15953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B15953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Julgamento</w:t>
      </w:r>
    </w:p>
    <w:p w:rsidR="00B15953" w:rsidRPr="00274E81" w:rsidRDefault="00B15953" w:rsidP="00B15953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5524F">
      <w:pPr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21. Encerrado o procedimento de envio de lances, nos termos do art. 19, o órgão ou entidade realizará a verificação da conformidade da proposta classificada em primeiro lugar quanto à adequação ao objeto e à compatibilidade do preço em relação ao estipulado para a contratação.</w:t>
      </w:r>
    </w:p>
    <w:p w:rsidR="00B15953" w:rsidRPr="00274E81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22. Definido o resultado do julgamento, quando a proposta do primeiro colocado permanecer acima do preço máximo definido para a contratação, o órgão ou a entidade poderá negociar condições mais vantajosas.</w:t>
      </w:r>
    </w:p>
    <w:p w:rsidR="00B15953" w:rsidRPr="00274E81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§1º Na hipótese de a estimativa de preços ser realizada concomitantemente à seleção da proposta economicamente mais vantajosa, nos termos do § 4º do art. 7º do decreto no 5.256, de 25 de maio de 2022, a verificação quanto à compatibilidade de preços será formal e deverá considerar, no mínimo, o número de concorrentes no procedimento e os valores por eles ofertados.</w:t>
      </w:r>
    </w:p>
    <w:p w:rsidR="00B15953" w:rsidRPr="00274E81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§2º Concluída a negociação, se houver, o resultado será registrado na ata do procedimento, devendo esta ser anexada aos autos do processo de contratação. </w:t>
      </w:r>
    </w:p>
    <w:p w:rsidR="00B15953" w:rsidRDefault="00B15953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23. A negociação poderá ser feita com os demais fornecedores classificados, exclusivamente por meio do sistema, respeitada a ordem de classificação, quando o primeiro colocado, mesmo após a negociação, for desclassificado em razão de sua proposta permanecer acima do preço máximo definido para a contratação, observado o disposto nos §§ 1º e 2º do art. 22.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Art. 24. Definida a proposta vencedora, o órgão ou a entidade deverá solicitar, por meio do sistema, o envio da proposta e, se necessário, dos documentos complementares, adequada ao último lance ofertado pelo vencedor. 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Parágrafo único. No caso de contratação em que o procedimento exija apresentação de planilhas com indicação dos quantitativos e dos custos unitários ou de custos e formação de preços, esta deverá ser encaminhada pelo sistema com os respectivos valores readequados à proposta vencedora.</w:t>
      </w:r>
    </w:p>
    <w:p w:rsidR="00920892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920892" w:rsidRDefault="00920892" w:rsidP="0092089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920892" w:rsidRDefault="00920892" w:rsidP="0092089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92089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Habilitação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25. Para a habilitação do fornecedor mais bem classificado serão exigidas, exclusivamente, as condições de que dispõe a Lei nº 14.133, de 2021.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§1º A verificação dos documentos de que trata o caput será realizada no SICAF ou em sistemas semelhantes mantidos pelos Estados, pelo Distrito Federal ou pelos Municípios, quando o procedimento for realizado em sistemas próprios ou outros sistemas disponíveis no mercado, assegurado aos demais participantes o direito de acesso aos dados constantes dos sistemas.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§2º O disposto no § 1º deve constar expressamente do aviso de contratação direta.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§3º Na hipótese de necessidade de envio de documentos complementares aos já apresentados para a habilitação, na forma estabelecida no § 1º, ou de documentos não constantes do </w:t>
      </w:r>
      <w:proofErr w:type="spellStart"/>
      <w:r w:rsidRPr="00274E81">
        <w:rPr>
          <w:rFonts w:asciiTheme="minorHAnsi" w:hAnsiTheme="minorHAnsi" w:cs="Arial"/>
          <w:iCs/>
          <w:sz w:val="24"/>
          <w:szCs w:val="24"/>
        </w:rPr>
        <w:t>Sicaf</w:t>
      </w:r>
      <w:proofErr w:type="spellEnd"/>
      <w:r w:rsidRPr="00274E81">
        <w:rPr>
          <w:rFonts w:asciiTheme="minorHAnsi" w:hAnsiTheme="minorHAnsi" w:cs="Arial"/>
          <w:iCs/>
          <w:sz w:val="24"/>
          <w:szCs w:val="24"/>
        </w:rPr>
        <w:t>, o órgão ou entidade deverá solicitar ao vencedor, no prazo definido no edital, o envio desses por meio do sistema.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92089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Procedimento fracassado ou deserto</w:t>
      </w:r>
    </w:p>
    <w:p w:rsidR="00920892" w:rsidRPr="00274E81" w:rsidRDefault="00920892" w:rsidP="0092089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Art. 26. No caso </w:t>
      </w:r>
      <w:r w:rsidR="00920892" w:rsidRPr="00274E81">
        <w:rPr>
          <w:rFonts w:asciiTheme="minorHAnsi" w:hAnsiTheme="minorHAnsi" w:cs="Arial"/>
          <w:iCs/>
          <w:sz w:val="24"/>
          <w:szCs w:val="24"/>
        </w:rPr>
        <w:t>de o</w:t>
      </w:r>
      <w:r w:rsidRPr="00274E81">
        <w:rPr>
          <w:rFonts w:asciiTheme="minorHAnsi" w:hAnsiTheme="minorHAnsi" w:cs="Arial"/>
          <w:iCs/>
          <w:sz w:val="24"/>
          <w:szCs w:val="24"/>
        </w:rPr>
        <w:t xml:space="preserve"> procedimento restar fracassado, o órgão ou entidade poderá:</w:t>
      </w:r>
    </w:p>
    <w:p w:rsidR="00920892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 - </w:t>
      </w:r>
      <w:r w:rsidR="00920892">
        <w:rPr>
          <w:rFonts w:asciiTheme="minorHAnsi" w:hAnsiTheme="minorHAnsi" w:cs="Arial"/>
          <w:iCs/>
          <w:sz w:val="24"/>
          <w:szCs w:val="24"/>
        </w:rPr>
        <w:t>R</w:t>
      </w:r>
      <w:r w:rsidRPr="00274E81">
        <w:rPr>
          <w:rFonts w:asciiTheme="minorHAnsi" w:hAnsiTheme="minorHAnsi" w:cs="Arial"/>
          <w:iCs/>
          <w:sz w:val="24"/>
          <w:szCs w:val="24"/>
        </w:rPr>
        <w:t>epublicar o procedimento;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II - </w:t>
      </w:r>
      <w:r w:rsidR="00920892">
        <w:rPr>
          <w:rFonts w:asciiTheme="minorHAnsi" w:hAnsiTheme="minorHAnsi" w:cs="Arial"/>
          <w:iCs/>
          <w:sz w:val="24"/>
          <w:szCs w:val="24"/>
        </w:rPr>
        <w:t>F</w:t>
      </w:r>
      <w:r w:rsidRPr="00274E81">
        <w:rPr>
          <w:rFonts w:asciiTheme="minorHAnsi" w:hAnsiTheme="minorHAnsi" w:cs="Arial"/>
          <w:iCs/>
          <w:sz w:val="24"/>
          <w:szCs w:val="24"/>
        </w:rPr>
        <w:t>ixar prazo para que os fornecedores interessados possam adequar as suas propostas ou sua situação no que se refere à habilitação; ou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III - V</w:t>
      </w:r>
      <w:r w:rsidR="00274E81" w:rsidRPr="00274E81">
        <w:rPr>
          <w:rFonts w:asciiTheme="minorHAnsi" w:hAnsiTheme="minorHAnsi" w:cs="Arial"/>
          <w:iCs/>
          <w:sz w:val="24"/>
          <w:szCs w:val="24"/>
        </w:rPr>
        <w:t>aler-se, para a contratação, de proposta obtida na pesquisa de preços que serviu de base ao procedimento, se houver, privilegiando-se os menores preços, sempre que possível, e desde que atendidas às condições de habilitação exigidas.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Parágrafo único. O disposto nos incisos I e III caput poderá ser utilizado nas hipóteses de o procedimento restar deserto. </w:t>
      </w:r>
    </w:p>
    <w:p w:rsidR="00920892" w:rsidRPr="00274E81" w:rsidRDefault="00920892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920892" w:rsidRDefault="00274E81" w:rsidP="00920892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920892">
        <w:rPr>
          <w:rFonts w:asciiTheme="minorHAnsi" w:hAnsiTheme="minorHAnsi" w:cs="Arial"/>
          <w:b/>
          <w:iCs/>
          <w:sz w:val="24"/>
          <w:szCs w:val="24"/>
        </w:rPr>
        <w:t>CAPÍTULO V</w:t>
      </w:r>
    </w:p>
    <w:p w:rsidR="00274E81" w:rsidRPr="00274E81" w:rsidRDefault="00274E81" w:rsidP="0092089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920892">
        <w:rPr>
          <w:rFonts w:asciiTheme="minorHAnsi" w:hAnsiTheme="minorHAnsi" w:cs="Arial"/>
          <w:b/>
          <w:iCs/>
          <w:sz w:val="24"/>
          <w:szCs w:val="24"/>
        </w:rPr>
        <w:t>DA ADJUDICAÇÃO E DA HOMOLOGAÇÃO</w:t>
      </w:r>
    </w:p>
    <w:p w:rsidR="00920892" w:rsidRDefault="00920892" w:rsidP="0092089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92089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Adjudicação e homologação</w:t>
      </w:r>
    </w:p>
    <w:p w:rsidR="00920892" w:rsidRPr="00274E81" w:rsidRDefault="00920892" w:rsidP="00920892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 xml:space="preserve">Art. 27. Encerradas a etapa de julgamento e de habilitação, o processo será encaminhado à autoridade superior para adjudicação do objeto e homologação do </w:t>
      </w:r>
      <w:r w:rsidRPr="00274E81">
        <w:rPr>
          <w:rFonts w:asciiTheme="minorHAnsi" w:hAnsiTheme="minorHAnsi" w:cs="Arial"/>
          <w:iCs/>
          <w:sz w:val="24"/>
          <w:szCs w:val="24"/>
        </w:rPr>
        <w:lastRenderedPageBreak/>
        <w:t>procedimento, observado, no que couber, o disposto no art. 71 da Lei nº 14.133, de 2021.</w:t>
      </w:r>
    </w:p>
    <w:p w:rsidR="00AB2D1B" w:rsidRDefault="00AB2D1B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Pr="00AB2D1B" w:rsidRDefault="00274E81" w:rsidP="00AB2D1B">
      <w:pPr>
        <w:spacing w:line="276" w:lineRule="auto"/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AB2D1B">
        <w:rPr>
          <w:rFonts w:asciiTheme="minorHAnsi" w:hAnsiTheme="minorHAnsi" w:cs="Arial"/>
          <w:b/>
          <w:iCs/>
          <w:sz w:val="24"/>
          <w:szCs w:val="24"/>
        </w:rPr>
        <w:t>TÍTULO III - DISPOSIÇÕES FINAIS</w:t>
      </w:r>
    </w:p>
    <w:p w:rsidR="00AB2D1B" w:rsidRDefault="00AB2D1B" w:rsidP="00AB2D1B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AB2D1B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Orientações Finais</w:t>
      </w:r>
    </w:p>
    <w:p w:rsidR="00AB2D1B" w:rsidRPr="00274E81" w:rsidRDefault="00AB2D1B" w:rsidP="00AB2D1B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28. O fornecedor estará sujeito às sanções administrativas previstas na Lei nº 14.133, de 2021, e em outras legislações aplicáveis, sem prejuízo da eventual anulação da nota de empenho de despesa ou da rescisão do instrumento contratual.</w:t>
      </w:r>
    </w:p>
    <w:p w:rsidR="00AB2D1B" w:rsidRPr="00274E81" w:rsidRDefault="00AB2D1B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29. Os horários estabelecidos na divulgação do procedimento e durante o envio de lances observarão o horário de Brasília, Distrito Federal, inclusive para contagem de tempo e registro no Sistema e na documentação relativa ao procedimento.</w:t>
      </w:r>
    </w:p>
    <w:p w:rsidR="00AB2D1B" w:rsidRPr="00274E81" w:rsidRDefault="00AB2D1B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30. Os órgãos, entidades, seus dirigentes e servidores que utilizem o Sistema de Dispensa Eletrônica responderão administrativa, civil e penalmente por ato ou fato que caracterize o uso indevido de senhas de acesso ou que transgrida as normas de segurança instituídas.</w:t>
      </w:r>
    </w:p>
    <w:p w:rsidR="00AB2D1B" w:rsidRPr="00274E81" w:rsidRDefault="00AB2D1B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Parágrafo único. Os órgãos e entidades deverão assegurar o sigilo e a integridade dos dados e informações da ferramenta informatizada de que trata esta Instrução Normativa, protegendo-os contra danos e utilizações indevidas ou desautorizadas no âmbito de sua atuação.</w:t>
      </w:r>
    </w:p>
    <w:p w:rsidR="00AB2D1B" w:rsidRPr="00274E81" w:rsidRDefault="00AB2D1B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274E81" w:rsidRDefault="00274E81" w:rsidP="00274E81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31. O fornecedor é o responsável por qualquer transação efetuada diretamente ou por seu representante no Sistema de Dispensa Eletrônica, não cabendo ao provedor do Sistema ou ao órgão ou entidade promotor do procedimento a responsabilidade por eventuais danos decorrentes de uso indevido da senha, ainda que por terceiros não autorizados.</w:t>
      </w:r>
    </w:p>
    <w:p w:rsidR="00274E81" w:rsidRDefault="00274E81" w:rsidP="00AB2D1B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Vigência</w:t>
      </w:r>
    </w:p>
    <w:p w:rsidR="00AB2D1B" w:rsidRPr="00274E81" w:rsidRDefault="00AB2D1B" w:rsidP="00AB2D1B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:rsidR="00370B6E" w:rsidRPr="00274E81" w:rsidRDefault="00274E81" w:rsidP="00274E8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74E81">
        <w:rPr>
          <w:rFonts w:asciiTheme="minorHAnsi" w:hAnsiTheme="minorHAnsi" w:cs="Arial"/>
          <w:iCs/>
          <w:sz w:val="24"/>
          <w:szCs w:val="24"/>
        </w:rPr>
        <w:t>Art. 32. Este Decreto entra em vigor na data de sua publicação.</w:t>
      </w:r>
    </w:p>
    <w:p w:rsidR="00CA0213" w:rsidRDefault="00CA0213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AB2D1B" w:rsidRDefault="00AB2D1B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84CA1" w:rsidRPr="00F84CA1" w:rsidRDefault="0025524F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Júlio Cezar Prates Cunha</w:t>
      </w:r>
    </w:p>
    <w:p w:rsidR="00B67DB1" w:rsidRDefault="00F84CA1" w:rsidP="00C7432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Prefeito Municipal</w:t>
      </w:r>
      <w:r w:rsidR="0025524F">
        <w:rPr>
          <w:rFonts w:asciiTheme="minorHAnsi" w:hAnsiTheme="minorHAnsi" w:cs="Arial"/>
          <w:sz w:val="24"/>
          <w:szCs w:val="24"/>
        </w:rPr>
        <w:t>, em exercício</w:t>
      </w:r>
      <w:bookmarkStart w:id="0" w:name="_GoBack"/>
      <w:bookmarkEnd w:id="0"/>
    </w:p>
    <w:p w:rsidR="0042287D" w:rsidRDefault="00F84CA1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REGISTRE-SE E PUBLIQUE-SE:</w:t>
      </w:r>
    </w:p>
    <w:p w:rsidR="00CA0213" w:rsidRDefault="00CA0213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772BF0" w:rsidRDefault="003A2EA6" w:rsidP="00C74326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Airton Leandro Heberle</w:t>
      </w:r>
    </w:p>
    <w:p w:rsidR="00772BF0" w:rsidRDefault="00772BF0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de</w:t>
      </w:r>
      <w:r w:rsidR="0027228D">
        <w:rPr>
          <w:rFonts w:asciiTheme="minorHAnsi" w:hAnsiTheme="minorHAnsi" w:cs="Arial"/>
          <w:sz w:val="24"/>
          <w:szCs w:val="24"/>
        </w:rPr>
        <w:t xml:space="preserve"> Infraestrutura e Administração</w:t>
      </w:r>
    </w:p>
    <w:sectPr w:rsidR="00772BF0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7F" w:rsidRDefault="003B6C7F" w:rsidP="006B02EF">
      <w:r>
        <w:separator/>
      </w:r>
    </w:p>
  </w:endnote>
  <w:endnote w:type="continuationSeparator" w:id="0">
    <w:p w:rsidR="003B6C7F" w:rsidRDefault="003B6C7F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3A26C4" w:rsidRDefault="0021064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1012B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DA4E236" wp14:editId="69871B6A">
              <wp:simplePos x="0" y="0"/>
              <wp:positionH relativeFrom="margin">
                <wp:posOffset>-96723</wp:posOffset>
              </wp:positionH>
              <wp:positionV relativeFrom="paragraph">
                <wp:posOffset>4445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444F9" w:rsidRPr="00A51C8D" w:rsidRDefault="00F444F9" w:rsidP="0021064F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25524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10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25524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10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A4E2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6pt;margin-top:.3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444F9" w:rsidRPr="00A51C8D" w:rsidRDefault="00F444F9" w:rsidP="0021064F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25524F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10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25524F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10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F444F9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F444F9">
      <w:rPr>
        <w:rFonts w:asciiTheme="minorHAnsi" w:hAnsiTheme="minorHAnsi"/>
        <w:sz w:val="18"/>
        <w:lang w:val="en-US"/>
      </w:rPr>
      <w:t>F</w:t>
    </w:r>
    <w:r w:rsidR="002B5130" w:rsidRPr="003A26C4">
      <w:rPr>
        <w:rFonts w:asciiTheme="minorHAnsi" w:hAnsiTheme="minorHAnsi"/>
        <w:sz w:val="18"/>
        <w:lang w:val="en-US"/>
      </w:rPr>
      <w:t>one</w:t>
    </w:r>
    <w:proofErr w:type="spellEnd"/>
    <w:r w:rsidR="002B5130" w:rsidRPr="003A26C4">
      <w:rPr>
        <w:rFonts w:asciiTheme="minorHAnsi" w:hAnsiTheme="minorHAnsi"/>
        <w:sz w:val="18"/>
        <w:lang w:val="en-US"/>
      </w:rPr>
      <w:t>/Fax.: (</w:t>
    </w:r>
    <w:r w:rsidR="002F1C60" w:rsidRPr="003A26C4">
      <w:rPr>
        <w:rFonts w:asciiTheme="minorHAnsi" w:hAnsiTheme="minorHAnsi"/>
        <w:sz w:val="18"/>
        <w:lang w:val="en-US"/>
      </w:rPr>
      <w:t>51) 3651</w:t>
    </w:r>
    <w:r w:rsidR="002B5130" w:rsidRPr="003A26C4">
      <w:rPr>
        <w:rFonts w:asciiTheme="minorHAnsi" w:hAnsiTheme="minorHAnsi"/>
        <w:sz w:val="18"/>
        <w:lang w:val="en-US"/>
      </w:rPr>
      <w:t xml:space="preserve">-1744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3A26C4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3A26C4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3A26C4">
      <w:rPr>
        <w:rFonts w:asciiTheme="minorHAnsi" w:hAnsiTheme="minorHAnsi"/>
        <w:sz w:val="18"/>
        <w:lang w:val="en-US"/>
      </w:rPr>
      <w:t xml:space="preserve">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</w:rPr>
    </w:pPr>
    <w:r w:rsidRPr="003A26C4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7F" w:rsidRDefault="003B6C7F" w:rsidP="006B02EF">
      <w:r>
        <w:separator/>
      </w:r>
    </w:p>
  </w:footnote>
  <w:footnote w:type="continuationSeparator" w:id="0">
    <w:p w:rsidR="003B6C7F" w:rsidRDefault="003B6C7F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3C0A8F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3C0A8F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3C0A8F" w:rsidRDefault="00CC252B" w:rsidP="00FF2EF7">
          <w:pPr>
            <w:pStyle w:val="Sumrio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MUNICÍPIO</w:t>
          </w:r>
          <w:r w:rsidR="00FF2EF7" w:rsidRPr="003C0A8F">
            <w:rPr>
              <w:rFonts w:asciiTheme="minorHAnsi" w:hAnsiTheme="minorHAnsi"/>
            </w:rPr>
            <w:t xml:space="preserve"> DE SÃO JERÔNIMO</w:t>
          </w:r>
        </w:p>
        <w:p w:rsidR="00FF2EF7" w:rsidRPr="003C0A8F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3C0A8F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E1E17E0"/>
    <w:multiLevelType w:val="hybridMultilevel"/>
    <w:tmpl w:val="54BC21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E7A3B"/>
    <w:multiLevelType w:val="hybridMultilevel"/>
    <w:tmpl w:val="49103738"/>
    <w:lvl w:ilvl="0" w:tplc="E6CA7C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B3206"/>
    <w:multiLevelType w:val="hybridMultilevel"/>
    <w:tmpl w:val="B732A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061F0"/>
    <w:multiLevelType w:val="hybridMultilevel"/>
    <w:tmpl w:val="AD2E4CCE"/>
    <w:lvl w:ilvl="0" w:tplc="6E7E3A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89F0510"/>
    <w:multiLevelType w:val="hybridMultilevel"/>
    <w:tmpl w:val="E1CE1AEA"/>
    <w:lvl w:ilvl="0" w:tplc="4CB2BC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"/>
  </w:num>
  <w:num w:numId="7">
    <w:abstractNumId w:val="19"/>
  </w:num>
  <w:num w:numId="8">
    <w:abstractNumId w:val="17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20"/>
  </w:num>
  <w:num w:numId="15">
    <w:abstractNumId w:val="16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4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5AC"/>
    <w:rsid w:val="00005037"/>
    <w:rsid w:val="000167C0"/>
    <w:rsid w:val="0002039C"/>
    <w:rsid w:val="00025732"/>
    <w:rsid w:val="0002627A"/>
    <w:rsid w:val="000278D7"/>
    <w:rsid w:val="00033C83"/>
    <w:rsid w:val="000348DD"/>
    <w:rsid w:val="00040008"/>
    <w:rsid w:val="0004173D"/>
    <w:rsid w:val="00042ABA"/>
    <w:rsid w:val="0004318D"/>
    <w:rsid w:val="00051F30"/>
    <w:rsid w:val="0005472C"/>
    <w:rsid w:val="00063E1A"/>
    <w:rsid w:val="0006431B"/>
    <w:rsid w:val="00065626"/>
    <w:rsid w:val="00066019"/>
    <w:rsid w:val="00070CF0"/>
    <w:rsid w:val="00071E35"/>
    <w:rsid w:val="000730F2"/>
    <w:rsid w:val="00075728"/>
    <w:rsid w:val="000809CF"/>
    <w:rsid w:val="000907B1"/>
    <w:rsid w:val="00092949"/>
    <w:rsid w:val="00092AC2"/>
    <w:rsid w:val="0009444C"/>
    <w:rsid w:val="000A1996"/>
    <w:rsid w:val="000A2154"/>
    <w:rsid w:val="000A2576"/>
    <w:rsid w:val="000A6EF5"/>
    <w:rsid w:val="000B173D"/>
    <w:rsid w:val="000B461F"/>
    <w:rsid w:val="000B472F"/>
    <w:rsid w:val="000B4752"/>
    <w:rsid w:val="000B4806"/>
    <w:rsid w:val="000B50BA"/>
    <w:rsid w:val="000C15BB"/>
    <w:rsid w:val="000C24E3"/>
    <w:rsid w:val="000C6F27"/>
    <w:rsid w:val="000D0B0C"/>
    <w:rsid w:val="000D1368"/>
    <w:rsid w:val="000D4A36"/>
    <w:rsid w:val="000D68B3"/>
    <w:rsid w:val="000D7A8F"/>
    <w:rsid w:val="000E240D"/>
    <w:rsid w:val="000E437D"/>
    <w:rsid w:val="000E5528"/>
    <w:rsid w:val="000E5633"/>
    <w:rsid w:val="000E5CC3"/>
    <w:rsid w:val="000F0CDF"/>
    <w:rsid w:val="000F1B00"/>
    <w:rsid w:val="000F2D1A"/>
    <w:rsid w:val="000F3624"/>
    <w:rsid w:val="000F4C67"/>
    <w:rsid w:val="001011AE"/>
    <w:rsid w:val="00103986"/>
    <w:rsid w:val="0011117B"/>
    <w:rsid w:val="001171DF"/>
    <w:rsid w:val="00127D26"/>
    <w:rsid w:val="00130D4C"/>
    <w:rsid w:val="0013307C"/>
    <w:rsid w:val="0013436D"/>
    <w:rsid w:val="0014043E"/>
    <w:rsid w:val="00144181"/>
    <w:rsid w:val="00144BCB"/>
    <w:rsid w:val="00145A3A"/>
    <w:rsid w:val="001521D0"/>
    <w:rsid w:val="00153354"/>
    <w:rsid w:val="00154636"/>
    <w:rsid w:val="0016040D"/>
    <w:rsid w:val="00162FAB"/>
    <w:rsid w:val="00165736"/>
    <w:rsid w:val="001663E9"/>
    <w:rsid w:val="0017406A"/>
    <w:rsid w:val="00177167"/>
    <w:rsid w:val="00180EDA"/>
    <w:rsid w:val="00184C5A"/>
    <w:rsid w:val="0018729A"/>
    <w:rsid w:val="00192F3F"/>
    <w:rsid w:val="001949A6"/>
    <w:rsid w:val="00197577"/>
    <w:rsid w:val="001A40F6"/>
    <w:rsid w:val="001A536D"/>
    <w:rsid w:val="001B0053"/>
    <w:rsid w:val="001B0620"/>
    <w:rsid w:val="001B398D"/>
    <w:rsid w:val="001B3DBA"/>
    <w:rsid w:val="001B7886"/>
    <w:rsid w:val="001C1D3A"/>
    <w:rsid w:val="001C1E8B"/>
    <w:rsid w:val="001C2DE2"/>
    <w:rsid w:val="001C374C"/>
    <w:rsid w:val="001C4B6F"/>
    <w:rsid w:val="001C637F"/>
    <w:rsid w:val="001D1841"/>
    <w:rsid w:val="001D3644"/>
    <w:rsid w:val="001D387C"/>
    <w:rsid w:val="001D66C6"/>
    <w:rsid w:val="001E66E7"/>
    <w:rsid w:val="001F5AF2"/>
    <w:rsid w:val="001F72D2"/>
    <w:rsid w:val="002012C6"/>
    <w:rsid w:val="0020249F"/>
    <w:rsid w:val="00203101"/>
    <w:rsid w:val="00210558"/>
    <w:rsid w:val="0021064F"/>
    <w:rsid w:val="002108D8"/>
    <w:rsid w:val="00214F3D"/>
    <w:rsid w:val="00215C17"/>
    <w:rsid w:val="002227D1"/>
    <w:rsid w:val="002229AC"/>
    <w:rsid w:val="00224A90"/>
    <w:rsid w:val="00224B48"/>
    <w:rsid w:val="002269A9"/>
    <w:rsid w:val="00231D27"/>
    <w:rsid w:val="002356AB"/>
    <w:rsid w:val="002401B4"/>
    <w:rsid w:val="0024043D"/>
    <w:rsid w:val="0024081A"/>
    <w:rsid w:val="00242D56"/>
    <w:rsid w:val="00242E43"/>
    <w:rsid w:val="00244566"/>
    <w:rsid w:val="00245E50"/>
    <w:rsid w:val="002535C1"/>
    <w:rsid w:val="0025524F"/>
    <w:rsid w:val="002643DC"/>
    <w:rsid w:val="00267127"/>
    <w:rsid w:val="00267DCC"/>
    <w:rsid w:val="002721C7"/>
    <w:rsid w:val="0027228D"/>
    <w:rsid w:val="002734C5"/>
    <w:rsid w:val="00274E81"/>
    <w:rsid w:val="00275A63"/>
    <w:rsid w:val="002772A2"/>
    <w:rsid w:val="0027767E"/>
    <w:rsid w:val="00280BB5"/>
    <w:rsid w:val="00282261"/>
    <w:rsid w:val="00282575"/>
    <w:rsid w:val="0028345B"/>
    <w:rsid w:val="002928FC"/>
    <w:rsid w:val="002938CB"/>
    <w:rsid w:val="0029417F"/>
    <w:rsid w:val="002A21CC"/>
    <w:rsid w:val="002A44FE"/>
    <w:rsid w:val="002A5F10"/>
    <w:rsid w:val="002B43A1"/>
    <w:rsid w:val="002B4D63"/>
    <w:rsid w:val="002B5130"/>
    <w:rsid w:val="002B7283"/>
    <w:rsid w:val="002C35D4"/>
    <w:rsid w:val="002D1573"/>
    <w:rsid w:val="002D3932"/>
    <w:rsid w:val="002E1F28"/>
    <w:rsid w:val="002E3D9C"/>
    <w:rsid w:val="002E4EBF"/>
    <w:rsid w:val="002E6ABD"/>
    <w:rsid w:val="002F09FA"/>
    <w:rsid w:val="002F1C60"/>
    <w:rsid w:val="002F1D7A"/>
    <w:rsid w:val="002F1FC9"/>
    <w:rsid w:val="002F4846"/>
    <w:rsid w:val="002F549E"/>
    <w:rsid w:val="002F6068"/>
    <w:rsid w:val="003009E3"/>
    <w:rsid w:val="00301357"/>
    <w:rsid w:val="003013FB"/>
    <w:rsid w:val="003014D5"/>
    <w:rsid w:val="003016E1"/>
    <w:rsid w:val="003039FF"/>
    <w:rsid w:val="00305AF2"/>
    <w:rsid w:val="00312D26"/>
    <w:rsid w:val="00314AC6"/>
    <w:rsid w:val="00317259"/>
    <w:rsid w:val="00317C5D"/>
    <w:rsid w:val="00326BA1"/>
    <w:rsid w:val="0033128C"/>
    <w:rsid w:val="00331CC6"/>
    <w:rsid w:val="0033617E"/>
    <w:rsid w:val="003473B4"/>
    <w:rsid w:val="00347770"/>
    <w:rsid w:val="00350199"/>
    <w:rsid w:val="00351328"/>
    <w:rsid w:val="00352D81"/>
    <w:rsid w:val="00354546"/>
    <w:rsid w:val="0035573C"/>
    <w:rsid w:val="003559F3"/>
    <w:rsid w:val="00355FD3"/>
    <w:rsid w:val="00363E1E"/>
    <w:rsid w:val="00365B5B"/>
    <w:rsid w:val="00365D59"/>
    <w:rsid w:val="00370B6E"/>
    <w:rsid w:val="003725BC"/>
    <w:rsid w:val="00374E70"/>
    <w:rsid w:val="00375A15"/>
    <w:rsid w:val="00384FEE"/>
    <w:rsid w:val="00386D2D"/>
    <w:rsid w:val="003908C6"/>
    <w:rsid w:val="003922E6"/>
    <w:rsid w:val="00392D0C"/>
    <w:rsid w:val="0039318D"/>
    <w:rsid w:val="00395737"/>
    <w:rsid w:val="00396286"/>
    <w:rsid w:val="00397D52"/>
    <w:rsid w:val="003A26C4"/>
    <w:rsid w:val="003A28B0"/>
    <w:rsid w:val="003A2EA6"/>
    <w:rsid w:val="003A435F"/>
    <w:rsid w:val="003A64B2"/>
    <w:rsid w:val="003A6C0B"/>
    <w:rsid w:val="003A772D"/>
    <w:rsid w:val="003B38B2"/>
    <w:rsid w:val="003B6C7F"/>
    <w:rsid w:val="003C0667"/>
    <w:rsid w:val="003C0A8F"/>
    <w:rsid w:val="003C1A2F"/>
    <w:rsid w:val="003C1BF6"/>
    <w:rsid w:val="003C6187"/>
    <w:rsid w:val="003C64A6"/>
    <w:rsid w:val="003C6A8C"/>
    <w:rsid w:val="003D1169"/>
    <w:rsid w:val="003D2916"/>
    <w:rsid w:val="003D31A1"/>
    <w:rsid w:val="003D350A"/>
    <w:rsid w:val="003D5DC3"/>
    <w:rsid w:val="003D7F76"/>
    <w:rsid w:val="003E14D2"/>
    <w:rsid w:val="003E3D12"/>
    <w:rsid w:val="003E3F99"/>
    <w:rsid w:val="003E53DE"/>
    <w:rsid w:val="003E64C4"/>
    <w:rsid w:val="003F0A6E"/>
    <w:rsid w:val="003F6E84"/>
    <w:rsid w:val="0040435B"/>
    <w:rsid w:val="00404F64"/>
    <w:rsid w:val="0040725A"/>
    <w:rsid w:val="00411963"/>
    <w:rsid w:val="004172C7"/>
    <w:rsid w:val="00421549"/>
    <w:rsid w:val="00422232"/>
    <w:rsid w:val="0042287D"/>
    <w:rsid w:val="0042484E"/>
    <w:rsid w:val="004252DA"/>
    <w:rsid w:val="00426516"/>
    <w:rsid w:val="00430AB5"/>
    <w:rsid w:val="0043109D"/>
    <w:rsid w:val="0043155B"/>
    <w:rsid w:val="0043293A"/>
    <w:rsid w:val="00435BAF"/>
    <w:rsid w:val="004364BC"/>
    <w:rsid w:val="00437414"/>
    <w:rsid w:val="00437544"/>
    <w:rsid w:val="00444E6C"/>
    <w:rsid w:val="004505A9"/>
    <w:rsid w:val="00454984"/>
    <w:rsid w:val="004600B0"/>
    <w:rsid w:val="004603BE"/>
    <w:rsid w:val="00462151"/>
    <w:rsid w:val="004673E4"/>
    <w:rsid w:val="00467841"/>
    <w:rsid w:val="00470D8F"/>
    <w:rsid w:val="004735BF"/>
    <w:rsid w:val="00474163"/>
    <w:rsid w:val="004747AA"/>
    <w:rsid w:val="00476E65"/>
    <w:rsid w:val="004823D7"/>
    <w:rsid w:val="00482F6B"/>
    <w:rsid w:val="004833D9"/>
    <w:rsid w:val="004835AE"/>
    <w:rsid w:val="00485386"/>
    <w:rsid w:val="00487A0F"/>
    <w:rsid w:val="004909A4"/>
    <w:rsid w:val="004917FE"/>
    <w:rsid w:val="00492078"/>
    <w:rsid w:val="004950EE"/>
    <w:rsid w:val="0049632D"/>
    <w:rsid w:val="004A7F56"/>
    <w:rsid w:val="004B6CB9"/>
    <w:rsid w:val="004C0E57"/>
    <w:rsid w:val="004C1366"/>
    <w:rsid w:val="004C3769"/>
    <w:rsid w:val="004C5202"/>
    <w:rsid w:val="004C7658"/>
    <w:rsid w:val="004D0BD2"/>
    <w:rsid w:val="004D31DF"/>
    <w:rsid w:val="004D6B78"/>
    <w:rsid w:val="004E525F"/>
    <w:rsid w:val="004F2601"/>
    <w:rsid w:val="004F3645"/>
    <w:rsid w:val="004F40F0"/>
    <w:rsid w:val="004F62FC"/>
    <w:rsid w:val="004F7825"/>
    <w:rsid w:val="00500790"/>
    <w:rsid w:val="00503032"/>
    <w:rsid w:val="00503CB9"/>
    <w:rsid w:val="0050608C"/>
    <w:rsid w:val="005101E0"/>
    <w:rsid w:val="00511901"/>
    <w:rsid w:val="00514AEF"/>
    <w:rsid w:val="00520BB1"/>
    <w:rsid w:val="00521D6D"/>
    <w:rsid w:val="00521DC1"/>
    <w:rsid w:val="0052255D"/>
    <w:rsid w:val="0052269C"/>
    <w:rsid w:val="005249B2"/>
    <w:rsid w:val="005326B5"/>
    <w:rsid w:val="005327FE"/>
    <w:rsid w:val="0053428D"/>
    <w:rsid w:val="005346D4"/>
    <w:rsid w:val="00534789"/>
    <w:rsid w:val="00541EFE"/>
    <w:rsid w:val="00544F95"/>
    <w:rsid w:val="00545844"/>
    <w:rsid w:val="00547367"/>
    <w:rsid w:val="0055011D"/>
    <w:rsid w:val="00551C69"/>
    <w:rsid w:val="0055305F"/>
    <w:rsid w:val="005548C7"/>
    <w:rsid w:val="00557681"/>
    <w:rsid w:val="00562203"/>
    <w:rsid w:val="0056301F"/>
    <w:rsid w:val="00564E7E"/>
    <w:rsid w:val="00565F55"/>
    <w:rsid w:val="005660DC"/>
    <w:rsid w:val="00566723"/>
    <w:rsid w:val="00567517"/>
    <w:rsid w:val="0057074A"/>
    <w:rsid w:val="005724D1"/>
    <w:rsid w:val="0057342F"/>
    <w:rsid w:val="00574C00"/>
    <w:rsid w:val="00576B33"/>
    <w:rsid w:val="0057758C"/>
    <w:rsid w:val="00577839"/>
    <w:rsid w:val="00577E8D"/>
    <w:rsid w:val="00586AA9"/>
    <w:rsid w:val="00587478"/>
    <w:rsid w:val="00587A7B"/>
    <w:rsid w:val="005922B7"/>
    <w:rsid w:val="005967AF"/>
    <w:rsid w:val="00597900"/>
    <w:rsid w:val="005A1559"/>
    <w:rsid w:val="005A3BFB"/>
    <w:rsid w:val="005A59D4"/>
    <w:rsid w:val="005B1C22"/>
    <w:rsid w:val="005B35DC"/>
    <w:rsid w:val="005B6AC4"/>
    <w:rsid w:val="005C40FF"/>
    <w:rsid w:val="005C42C9"/>
    <w:rsid w:val="005C7B30"/>
    <w:rsid w:val="005D02C1"/>
    <w:rsid w:val="005D06E6"/>
    <w:rsid w:val="005D4837"/>
    <w:rsid w:val="005D4A2A"/>
    <w:rsid w:val="005D7D6C"/>
    <w:rsid w:val="005D7DEB"/>
    <w:rsid w:val="005E241B"/>
    <w:rsid w:val="005E2DF2"/>
    <w:rsid w:val="005E3347"/>
    <w:rsid w:val="005E51BB"/>
    <w:rsid w:val="005E763D"/>
    <w:rsid w:val="005E7EF0"/>
    <w:rsid w:val="005F376A"/>
    <w:rsid w:val="005F4BD2"/>
    <w:rsid w:val="00600097"/>
    <w:rsid w:val="00603014"/>
    <w:rsid w:val="00606875"/>
    <w:rsid w:val="00610186"/>
    <w:rsid w:val="006101E6"/>
    <w:rsid w:val="0061184C"/>
    <w:rsid w:val="006135B6"/>
    <w:rsid w:val="00615024"/>
    <w:rsid w:val="00615F71"/>
    <w:rsid w:val="00617A2D"/>
    <w:rsid w:val="00617D87"/>
    <w:rsid w:val="0062119A"/>
    <w:rsid w:val="00621A71"/>
    <w:rsid w:val="0062729B"/>
    <w:rsid w:val="006323A4"/>
    <w:rsid w:val="006345B8"/>
    <w:rsid w:val="00641BB0"/>
    <w:rsid w:val="00641E6F"/>
    <w:rsid w:val="0064217B"/>
    <w:rsid w:val="006442C5"/>
    <w:rsid w:val="00645B06"/>
    <w:rsid w:val="00646F19"/>
    <w:rsid w:val="00646F2A"/>
    <w:rsid w:val="00650D7C"/>
    <w:rsid w:val="006562D5"/>
    <w:rsid w:val="006606AF"/>
    <w:rsid w:val="00665763"/>
    <w:rsid w:val="00665A40"/>
    <w:rsid w:val="00665AC3"/>
    <w:rsid w:val="00667312"/>
    <w:rsid w:val="0066787C"/>
    <w:rsid w:val="00674864"/>
    <w:rsid w:val="00674CCD"/>
    <w:rsid w:val="006810CB"/>
    <w:rsid w:val="00681F44"/>
    <w:rsid w:val="006821F4"/>
    <w:rsid w:val="006826DA"/>
    <w:rsid w:val="0068370A"/>
    <w:rsid w:val="0069310D"/>
    <w:rsid w:val="00694144"/>
    <w:rsid w:val="006A6A20"/>
    <w:rsid w:val="006A7D37"/>
    <w:rsid w:val="006B02EF"/>
    <w:rsid w:val="006B171B"/>
    <w:rsid w:val="006B438D"/>
    <w:rsid w:val="006B540F"/>
    <w:rsid w:val="006C0A6A"/>
    <w:rsid w:val="006C3A80"/>
    <w:rsid w:val="006D0F69"/>
    <w:rsid w:val="006D309A"/>
    <w:rsid w:val="006D6C39"/>
    <w:rsid w:val="006E010C"/>
    <w:rsid w:val="006E21F6"/>
    <w:rsid w:val="006E3B26"/>
    <w:rsid w:val="006E3DF4"/>
    <w:rsid w:val="006E4EEE"/>
    <w:rsid w:val="006F026F"/>
    <w:rsid w:val="006F0F8F"/>
    <w:rsid w:val="006F30DE"/>
    <w:rsid w:val="006F4BD2"/>
    <w:rsid w:val="006F4E5D"/>
    <w:rsid w:val="006F53B8"/>
    <w:rsid w:val="006F58D9"/>
    <w:rsid w:val="006F5BF2"/>
    <w:rsid w:val="00700F83"/>
    <w:rsid w:val="0070309C"/>
    <w:rsid w:val="007037B3"/>
    <w:rsid w:val="007037D6"/>
    <w:rsid w:val="00706F4F"/>
    <w:rsid w:val="00707450"/>
    <w:rsid w:val="0071440D"/>
    <w:rsid w:val="007213E6"/>
    <w:rsid w:val="00730B0E"/>
    <w:rsid w:val="00737A7E"/>
    <w:rsid w:val="00737B9D"/>
    <w:rsid w:val="007410D7"/>
    <w:rsid w:val="007419B5"/>
    <w:rsid w:val="00747FAE"/>
    <w:rsid w:val="007518F3"/>
    <w:rsid w:val="0075233E"/>
    <w:rsid w:val="0075384A"/>
    <w:rsid w:val="007602C8"/>
    <w:rsid w:val="00760D9A"/>
    <w:rsid w:val="00761CFC"/>
    <w:rsid w:val="00762CC6"/>
    <w:rsid w:val="00764DA0"/>
    <w:rsid w:val="00766F5E"/>
    <w:rsid w:val="00767F2D"/>
    <w:rsid w:val="00770760"/>
    <w:rsid w:val="00771ED9"/>
    <w:rsid w:val="007724BC"/>
    <w:rsid w:val="00772BF0"/>
    <w:rsid w:val="007743A3"/>
    <w:rsid w:val="00775727"/>
    <w:rsid w:val="0078169A"/>
    <w:rsid w:val="00782DB0"/>
    <w:rsid w:val="007841C8"/>
    <w:rsid w:val="00790236"/>
    <w:rsid w:val="00790591"/>
    <w:rsid w:val="00791E8D"/>
    <w:rsid w:val="00794AAB"/>
    <w:rsid w:val="007953D0"/>
    <w:rsid w:val="007A153C"/>
    <w:rsid w:val="007A1984"/>
    <w:rsid w:val="007A20CC"/>
    <w:rsid w:val="007A2176"/>
    <w:rsid w:val="007A22F2"/>
    <w:rsid w:val="007A23EF"/>
    <w:rsid w:val="007B0685"/>
    <w:rsid w:val="007B15F2"/>
    <w:rsid w:val="007B3F57"/>
    <w:rsid w:val="007B5F96"/>
    <w:rsid w:val="007C0BAB"/>
    <w:rsid w:val="007C0BC3"/>
    <w:rsid w:val="007C1905"/>
    <w:rsid w:val="007C4F8F"/>
    <w:rsid w:val="007D1796"/>
    <w:rsid w:val="007D3FB4"/>
    <w:rsid w:val="007E0D43"/>
    <w:rsid w:val="007E0FBD"/>
    <w:rsid w:val="007E3CC6"/>
    <w:rsid w:val="007E426E"/>
    <w:rsid w:val="007E49C6"/>
    <w:rsid w:val="007E63E8"/>
    <w:rsid w:val="007F02CD"/>
    <w:rsid w:val="007F0461"/>
    <w:rsid w:val="007F2F9C"/>
    <w:rsid w:val="007F306C"/>
    <w:rsid w:val="007F44C5"/>
    <w:rsid w:val="007F78F7"/>
    <w:rsid w:val="00800154"/>
    <w:rsid w:val="008003E6"/>
    <w:rsid w:val="00801096"/>
    <w:rsid w:val="00801118"/>
    <w:rsid w:val="008019A2"/>
    <w:rsid w:val="0080203A"/>
    <w:rsid w:val="0080371D"/>
    <w:rsid w:val="00803D76"/>
    <w:rsid w:val="008163AC"/>
    <w:rsid w:val="00817BCB"/>
    <w:rsid w:val="0082479E"/>
    <w:rsid w:val="00827BEE"/>
    <w:rsid w:val="00827D6A"/>
    <w:rsid w:val="00827F47"/>
    <w:rsid w:val="0083257F"/>
    <w:rsid w:val="00834D0D"/>
    <w:rsid w:val="00835944"/>
    <w:rsid w:val="008375E9"/>
    <w:rsid w:val="008376B2"/>
    <w:rsid w:val="00841304"/>
    <w:rsid w:val="00843DD1"/>
    <w:rsid w:val="0085095C"/>
    <w:rsid w:val="0085310A"/>
    <w:rsid w:val="008546B3"/>
    <w:rsid w:val="00854820"/>
    <w:rsid w:val="00857A43"/>
    <w:rsid w:val="00862E19"/>
    <w:rsid w:val="008653C8"/>
    <w:rsid w:val="00872BB3"/>
    <w:rsid w:val="008731E4"/>
    <w:rsid w:val="008743B4"/>
    <w:rsid w:val="008758F0"/>
    <w:rsid w:val="00876773"/>
    <w:rsid w:val="0087686D"/>
    <w:rsid w:val="00877933"/>
    <w:rsid w:val="00877D07"/>
    <w:rsid w:val="00881BAF"/>
    <w:rsid w:val="008842F1"/>
    <w:rsid w:val="0088434C"/>
    <w:rsid w:val="00886362"/>
    <w:rsid w:val="008868E5"/>
    <w:rsid w:val="00892D25"/>
    <w:rsid w:val="00894775"/>
    <w:rsid w:val="00895BE6"/>
    <w:rsid w:val="008A0F16"/>
    <w:rsid w:val="008A6A7D"/>
    <w:rsid w:val="008A7027"/>
    <w:rsid w:val="008C01B2"/>
    <w:rsid w:val="008C022D"/>
    <w:rsid w:val="008C52B1"/>
    <w:rsid w:val="008C590F"/>
    <w:rsid w:val="008C77EC"/>
    <w:rsid w:val="008D1D0D"/>
    <w:rsid w:val="008D2A2B"/>
    <w:rsid w:val="008D2E0B"/>
    <w:rsid w:val="008D5792"/>
    <w:rsid w:val="008E0BBE"/>
    <w:rsid w:val="008E1E8A"/>
    <w:rsid w:val="008E1FE6"/>
    <w:rsid w:val="008E2082"/>
    <w:rsid w:val="008E7AEF"/>
    <w:rsid w:val="008F0378"/>
    <w:rsid w:val="008F416C"/>
    <w:rsid w:val="008F4BDA"/>
    <w:rsid w:val="008F5646"/>
    <w:rsid w:val="008F7284"/>
    <w:rsid w:val="00904AFF"/>
    <w:rsid w:val="00905E96"/>
    <w:rsid w:val="00906535"/>
    <w:rsid w:val="00907DC4"/>
    <w:rsid w:val="00920892"/>
    <w:rsid w:val="00925199"/>
    <w:rsid w:val="009276CE"/>
    <w:rsid w:val="009278EB"/>
    <w:rsid w:val="00927CF2"/>
    <w:rsid w:val="009302A2"/>
    <w:rsid w:val="00933398"/>
    <w:rsid w:val="0093493A"/>
    <w:rsid w:val="00934E22"/>
    <w:rsid w:val="0094166F"/>
    <w:rsid w:val="009423D2"/>
    <w:rsid w:val="00945726"/>
    <w:rsid w:val="0095060D"/>
    <w:rsid w:val="0095461C"/>
    <w:rsid w:val="00954C89"/>
    <w:rsid w:val="00954F59"/>
    <w:rsid w:val="00957971"/>
    <w:rsid w:val="00957E51"/>
    <w:rsid w:val="0096040C"/>
    <w:rsid w:val="00973725"/>
    <w:rsid w:val="009837B6"/>
    <w:rsid w:val="009934C3"/>
    <w:rsid w:val="009938DD"/>
    <w:rsid w:val="009942B8"/>
    <w:rsid w:val="00994D97"/>
    <w:rsid w:val="009A3737"/>
    <w:rsid w:val="009A46DE"/>
    <w:rsid w:val="009A5685"/>
    <w:rsid w:val="009A7417"/>
    <w:rsid w:val="009A7ABE"/>
    <w:rsid w:val="009A7E32"/>
    <w:rsid w:val="009B0047"/>
    <w:rsid w:val="009B23E9"/>
    <w:rsid w:val="009B269F"/>
    <w:rsid w:val="009B46E6"/>
    <w:rsid w:val="009B55CD"/>
    <w:rsid w:val="009B6B6A"/>
    <w:rsid w:val="009C10AC"/>
    <w:rsid w:val="009C33DE"/>
    <w:rsid w:val="009C3B50"/>
    <w:rsid w:val="009C767C"/>
    <w:rsid w:val="009D002B"/>
    <w:rsid w:val="009D022E"/>
    <w:rsid w:val="009D1D81"/>
    <w:rsid w:val="009D6469"/>
    <w:rsid w:val="009E32AC"/>
    <w:rsid w:val="009E72C3"/>
    <w:rsid w:val="009F58D1"/>
    <w:rsid w:val="009F6795"/>
    <w:rsid w:val="009F6900"/>
    <w:rsid w:val="00A00DCD"/>
    <w:rsid w:val="00A01D78"/>
    <w:rsid w:val="00A020D7"/>
    <w:rsid w:val="00A06933"/>
    <w:rsid w:val="00A10595"/>
    <w:rsid w:val="00A10E61"/>
    <w:rsid w:val="00A11543"/>
    <w:rsid w:val="00A151C8"/>
    <w:rsid w:val="00A1607E"/>
    <w:rsid w:val="00A16C65"/>
    <w:rsid w:val="00A21820"/>
    <w:rsid w:val="00A22D4E"/>
    <w:rsid w:val="00A23104"/>
    <w:rsid w:val="00A23CDA"/>
    <w:rsid w:val="00A279B6"/>
    <w:rsid w:val="00A321F6"/>
    <w:rsid w:val="00A36FC5"/>
    <w:rsid w:val="00A40D03"/>
    <w:rsid w:val="00A40F29"/>
    <w:rsid w:val="00A4126A"/>
    <w:rsid w:val="00A4352E"/>
    <w:rsid w:val="00A43ED3"/>
    <w:rsid w:val="00A46286"/>
    <w:rsid w:val="00A50092"/>
    <w:rsid w:val="00A50136"/>
    <w:rsid w:val="00A50CD5"/>
    <w:rsid w:val="00A51E89"/>
    <w:rsid w:val="00A51F2D"/>
    <w:rsid w:val="00A523D6"/>
    <w:rsid w:val="00A531BD"/>
    <w:rsid w:val="00A54500"/>
    <w:rsid w:val="00A604B9"/>
    <w:rsid w:val="00A608C8"/>
    <w:rsid w:val="00A618B4"/>
    <w:rsid w:val="00A62C9F"/>
    <w:rsid w:val="00A665C8"/>
    <w:rsid w:val="00A765EF"/>
    <w:rsid w:val="00A77366"/>
    <w:rsid w:val="00A835CE"/>
    <w:rsid w:val="00A84CBD"/>
    <w:rsid w:val="00A85BC6"/>
    <w:rsid w:val="00A86781"/>
    <w:rsid w:val="00A91A7A"/>
    <w:rsid w:val="00A96F3E"/>
    <w:rsid w:val="00AA613D"/>
    <w:rsid w:val="00AA62A4"/>
    <w:rsid w:val="00AB0242"/>
    <w:rsid w:val="00AB2D1B"/>
    <w:rsid w:val="00AB3ED5"/>
    <w:rsid w:val="00AB416B"/>
    <w:rsid w:val="00AB5AA8"/>
    <w:rsid w:val="00AC10DD"/>
    <w:rsid w:val="00AC3546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202"/>
    <w:rsid w:val="00AE34D1"/>
    <w:rsid w:val="00AE3DD6"/>
    <w:rsid w:val="00AE52EB"/>
    <w:rsid w:val="00AE5738"/>
    <w:rsid w:val="00AE6B40"/>
    <w:rsid w:val="00AE757A"/>
    <w:rsid w:val="00AF732E"/>
    <w:rsid w:val="00B007C5"/>
    <w:rsid w:val="00B00F56"/>
    <w:rsid w:val="00B0246C"/>
    <w:rsid w:val="00B02EA0"/>
    <w:rsid w:val="00B06520"/>
    <w:rsid w:val="00B15953"/>
    <w:rsid w:val="00B15C14"/>
    <w:rsid w:val="00B216A2"/>
    <w:rsid w:val="00B21A82"/>
    <w:rsid w:val="00B27C41"/>
    <w:rsid w:val="00B27F2A"/>
    <w:rsid w:val="00B27F36"/>
    <w:rsid w:val="00B31D89"/>
    <w:rsid w:val="00B35A40"/>
    <w:rsid w:val="00B35B0A"/>
    <w:rsid w:val="00B35B4E"/>
    <w:rsid w:val="00B362B4"/>
    <w:rsid w:val="00B371A5"/>
    <w:rsid w:val="00B3780F"/>
    <w:rsid w:val="00B37F34"/>
    <w:rsid w:val="00B416A2"/>
    <w:rsid w:val="00B43D85"/>
    <w:rsid w:val="00B4678E"/>
    <w:rsid w:val="00B47242"/>
    <w:rsid w:val="00B50DC8"/>
    <w:rsid w:val="00B53067"/>
    <w:rsid w:val="00B5778A"/>
    <w:rsid w:val="00B6216E"/>
    <w:rsid w:val="00B6511A"/>
    <w:rsid w:val="00B66C91"/>
    <w:rsid w:val="00B66E6F"/>
    <w:rsid w:val="00B67AE6"/>
    <w:rsid w:val="00B67DB1"/>
    <w:rsid w:val="00B71437"/>
    <w:rsid w:val="00B747EA"/>
    <w:rsid w:val="00B750A5"/>
    <w:rsid w:val="00B75873"/>
    <w:rsid w:val="00B82FCE"/>
    <w:rsid w:val="00B849E2"/>
    <w:rsid w:val="00B903E5"/>
    <w:rsid w:val="00B93E48"/>
    <w:rsid w:val="00B93EA9"/>
    <w:rsid w:val="00B96423"/>
    <w:rsid w:val="00B970AC"/>
    <w:rsid w:val="00BA0134"/>
    <w:rsid w:val="00BA142A"/>
    <w:rsid w:val="00BA67D7"/>
    <w:rsid w:val="00BC0B17"/>
    <w:rsid w:val="00BC26D6"/>
    <w:rsid w:val="00BC5FD0"/>
    <w:rsid w:val="00BC7ECF"/>
    <w:rsid w:val="00BD05E6"/>
    <w:rsid w:val="00BD2B71"/>
    <w:rsid w:val="00BD38FC"/>
    <w:rsid w:val="00BD4C9D"/>
    <w:rsid w:val="00BE0035"/>
    <w:rsid w:val="00BE0558"/>
    <w:rsid w:val="00BE18D4"/>
    <w:rsid w:val="00BE3B7C"/>
    <w:rsid w:val="00BE7F18"/>
    <w:rsid w:val="00BF1019"/>
    <w:rsid w:val="00BF32A4"/>
    <w:rsid w:val="00BF3927"/>
    <w:rsid w:val="00BF5499"/>
    <w:rsid w:val="00BF5B3B"/>
    <w:rsid w:val="00C05F9F"/>
    <w:rsid w:val="00C1116A"/>
    <w:rsid w:val="00C13CCA"/>
    <w:rsid w:val="00C142A5"/>
    <w:rsid w:val="00C21455"/>
    <w:rsid w:val="00C23096"/>
    <w:rsid w:val="00C23B17"/>
    <w:rsid w:val="00C243D3"/>
    <w:rsid w:val="00C24698"/>
    <w:rsid w:val="00C24DE1"/>
    <w:rsid w:val="00C263CD"/>
    <w:rsid w:val="00C31E0A"/>
    <w:rsid w:val="00C34A88"/>
    <w:rsid w:val="00C40A0B"/>
    <w:rsid w:val="00C45A52"/>
    <w:rsid w:val="00C53B21"/>
    <w:rsid w:val="00C54B92"/>
    <w:rsid w:val="00C63E0A"/>
    <w:rsid w:val="00C6615A"/>
    <w:rsid w:val="00C6628D"/>
    <w:rsid w:val="00C66E46"/>
    <w:rsid w:val="00C6733D"/>
    <w:rsid w:val="00C74326"/>
    <w:rsid w:val="00C75E7D"/>
    <w:rsid w:val="00C76708"/>
    <w:rsid w:val="00C81C5E"/>
    <w:rsid w:val="00C901F9"/>
    <w:rsid w:val="00C90720"/>
    <w:rsid w:val="00C91E56"/>
    <w:rsid w:val="00C92382"/>
    <w:rsid w:val="00C928E4"/>
    <w:rsid w:val="00C945E9"/>
    <w:rsid w:val="00C9697F"/>
    <w:rsid w:val="00CA0213"/>
    <w:rsid w:val="00CA1AAE"/>
    <w:rsid w:val="00CA44F5"/>
    <w:rsid w:val="00CA4B15"/>
    <w:rsid w:val="00CA4C63"/>
    <w:rsid w:val="00CA530E"/>
    <w:rsid w:val="00CA577B"/>
    <w:rsid w:val="00CA5E27"/>
    <w:rsid w:val="00CB62F0"/>
    <w:rsid w:val="00CB63CB"/>
    <w:rsid w:val="00CB7558"/>
    <w:rsid w:val="00CC1C7E"/>
    <w:rsid w:val="00CC252B"/>
    <w:rsid w:val="00CD767D"/>
    <w:rsid w:val="00CE1C0D"/>
    <w:rsid w:val="00CE1E78"/>
    <w:rsid w:val="00CE245D"/>
    <w:rsid w:val="00CE2478"/>
    <w:rsid w:val="00CE2F1A"/>
    <w:rsid w:val="00CE3767"/>
    <w:rsid w:val="00CE4E6C"/>
    <w:rsid w:val="00CE7F0E"/>
    <w:rsid w:val="00CF2588"/>
    <w:rsid w:val="00CF5129"/>
    <w:rsid w:val="00CF72DF"/>
    <w:rsid w:val="00D01FAD"/>
    <w:rsid w:val="00D02581"/>
    <w:rsid w:val="00D04CB0"/>
    <w:rsid w:val="00D050F5"/>
    <w:rsid w:val="00D05665"/>
    <w:rsid w:val="00D10B1B"/>
    <w:rsid w:val="00D21CCD"/>
    <w:rsid w:val="00D230D7"/>
    <w:rsid w:val="00D265F9"/>
    <w:rsid w:val="00D27E29"/>
    <w:rsid w:val="00D36540"/>
    <w:rsid w:val="00D3679D"/>
    <w:rsid w:val="00D40307"/>
    <w:rsid w:val="00D44819"/>
    <w:rsid w:val="00D465A8"/>
    <w:rsid w:val="00D5024C"/>
    <w:rsid w:val="00D5152F"/>
    <w:rsid w:val="00D54A7E"/>
    <w:rsid w:val="00D550C5"/>
    <w:rsid w:val="00D63589"/>
    <w:rsid w:val="00D669CE"/>
    <w:rsid w:val="00D71FD8"/>
    <w:rsid w:val="00D752A3"/>
    <w:rsid w:val="00D77DA8"/>
    <w:rsid w:val="00D857D8"/>
    <w:rsid w:val="00D87DB7"/>
    <w:rsid w:val="00D923EC"/>
    <w:rsid w:val="00D95F53"/>
    <w:rsid w:val="00D96193"/>
    <w:rsid w:val="00DA00BB"/>
    <w:rsid w:val="00DA04A2"/>
    <w:rsid w:val="00DA1361"/>
    <w:rsid w:val="00DA2524"/>
    <w:rsid w:val="00DA403E"/>
    <w:rsid w:val="00DA675C"/>
    <w:rsid w:val="00DA77B3"/>
    <w:rsid w:val="00DB15B6"/>
    <w:rsid w:val="00DB4892"/>
    <w:rsid w:val="00DB5E5E"/>
    <w:rsid w:val="00DC10FB"/>
    <w:rsid w:val="00DC1576"/>
    <w:rsid w:val="00DC2C06"/>
    <w:rsid w:val="00DC6510"/>
    <w:rsid w:val="00DD2F00"/>
    <w:rsid w:val="00DD39D9"/>
    <w:rsid w:val="00DD4B6C"/>
    <w:rsid w:val="00DD5716"/>
    <w:rsid w:val="00DE00EF"/>
    <w:rsid w:val="00DE0D0D"/>
    <w:rsid w:val="00DE1C51"/>
    <w:rsid w:val="00DE203E"/>
    <w:rsid w:val="00DE756D"/>
    <w:rsid w:val="00DF2626"/>
    <w:rsid w:val="00DF34D6"/>
    <w:rsid w:val="00DF4E48"/>
    <w:rsid w:val="00DF6730"/>
    <w:rsid w:val="00E04226"/>
    <w:rsid w:val="00E05677"/>
    <w:rsid w:val="00E11A85"/>
    <w:rsid w:val="00E21830"/>
    <w:rsid w:val="00E21D54"/>
    <w:rsid w:val="00E22105"/>
    <w:rsid w:val="00E22A8C"/>
    <w:rsid w:val="00E2461E"/>
    <w:rsid w:val="00E25123"/>
    <w:rsid w:val="00E320B7"/>
    <w:rsid w:val="00E41711"/>
    <w:rsid w:val="00E449FE"/>
    <w:rsid w:val="00E473DD"/>
    <w:rsid w:val="00E51D16"/>
    <w:rsid w:val="00E54691"/>
    <w:rsid w:val="00E60BE9"/>
    <w:rsid w:val="00E64B1A"/>
    <w:rsid w:val="00E653B3"/>
    <w:rsid w:val="00E673AC"/>
    <w:rsid w:val="00E677E7"/>
    <w:rsid w:val="00E72C5D"/>
    <w:rsid w:val="00E74168"/>
    <w:rsid w:val="00E7429D"/>
    <w:rsid w:val="00E86740"/>
    <w:rsid w:val="00E873C4"/>
    <w:rsid w:val="00E92BBC"/>
    <w:rsid w:val="00E946ED"/>
    <w:rsid w:val="00E97F2D"/>
    <w:rsid w:val="00EA00AD"/>
    <w:rsid w:val="00EA436C"/>
    <w:rsid w:val="00EA490E"/>
    <w:rsid w:val="00EA568B"/>
    <w:rsid w:val="00EA6682"/>
    <w:rsid w:val="00EB3157"/>
    <w:rsid w:val="00EB55D5"/>
    <w:rsid w:val="00EC3FCE"/>
    <w:rsid w:val="00EC4FE3"/>
    <w:rsid w:val="00ED0C4B"/>
    <w:rsid w:val="00ED75C6"/>
    <w:rsid w:val="00EE1A40"/>
    <w:rsid w:val="00EE32F6"/>
    <w:rsid w:val="00EE3808"/>
    <w:rsid w:val="00EF4B44"/>
    <w:rsid w:val="00F0055F"/>
    <w:rsid w:val="00F007CD"/>
    <w:rsid w:val="00F0195E"/>
    <w:rsid w:val="00F02EC7"/>
    <w:rsid w:val="00F159CD"/>
    <w:rsid w:val="00F16F79"/>
    <w:rsid w:val="00F20180"/>
    <w:rsid w:val="00F222F2"/>
    <w:rsid w:val="00F2570B"/>
    <w:rsid w:val="00F275A1"/>
    <w:rsid w:val="00F33E89"/>
    <w:rsid w:val="00F350C6"/>
    <w:rsid w:val="00F35707"/>
    <w:rsid w:val="00F37D23"/>
    <w:rsid w:val="00F42944"/>
    <w:rsid w:val="00F444F9"/>
    <w:rsid w:val="00F44890"/>
    <w:rsid w:val="00F502C7"/>
    <w:rsid w:val="00F50931"/>
    <w:rsid w:val="00F52D74"/>
    <w:rsid w:val="00F53320"/>
    <w:rsid w:val="00F53619"/>
    <w:rsid w:val="00F54D77"/>
    <w:rsid w:val="00F6017F"/>
    <w:rsid w:val="00F62254"/>
    <w:rsid w:val="00F67851"/>
    <w:rsid w:val="00F67A92"/>
    <w:rsid w:val="00F743C9"/>
    <w:rsid w:val="00F83ED6"/>
    <w:rsid w:val="00F83FB6"/>
    <w:rsid w:val="00F8426D"/>
    <w:rsid w:val="00F84CA1"/>
    <w:rsid w:val="00F90781"/>
    <w:rsid w:val="00F93C00"/>
    <w:rsid w:val="00FA1523"/>
    <w:rsid w:val="00FA6AB7"/>
    <w:rsid w:val="00FC1118"/>
    <w:rsid w:val="00FC37DC"/>
    <w:rsid w:val="00FC435A"/>
    <w:rsid w:val="00FC4ADC"/>
    <w:rsid w:val="00FC4C19"/>
    <w:rsid w:val="00FD0F46"/>
    <w:rsid w:val="00FD20A3"/>
    <w:rsid w:val="00FE43BD"/>
    <w:rsid w:val="00FE5187"/>
    <w:rsid w:val="00FE5540"/>
    <w:rsid w:val="00FE5D08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E49DE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49DD-2683-419B-8682-7142FA0C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10</Pages>
  <Words>2888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154</cp:revision>
  <cp:lastPrinted>2024-01-10T16:23:00Z</cp:lastPrinted>
  <dcterms:created xsi:type="dcterms:W3CDTF">2020-03-23T14:06:00Z</dcterms:created>
  <dcterms:modified xsi:type="dcterms:W3CDTF">2024-01-17T13:16:00Z</dcterms:modified>
</cp:coreProperties>
</file>